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B3165" w14:textId="77777777" w:rsidR="002031AD" w:rsidRDefault="00C9109F" w:rsidP="00CF78A4">
      <w:pPr>
        <w:pStyle w:val="BodyText"/>
        <w:jc w:val="left"/>
        <w:rPr>
          <w:rFonts w:ascii="BellGothic Blk BT" w:hAnsi="BellGothic Blk BT"/>
          <w:sz w:val="24"/>
        </w:rPr>
      </w:pPr>
      <w:r>
        <w:rPr>
          <w:rFonts w:ascii="BellGothic Blk BT" w:hAnsi="BellGothic Blk BT"/>
          <w:noProof/>
          <w:sz w:val="22"/>
          <w:szCs w:val="22"/>
        </w:rPr>
        <w:object w:dxaOrig="1440" w:dyaOrig="1440" w14:anchorId="5684D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49.5pt;margin-top:0;width:60.95pt;height:63pt;z-index:-251658240" wrapcoords="-432 0 -432 21185 21600 21185 21600 0 -432 0">
            <v:imagedata r:id="rId8" o:title=""/>
            <w10:wrap type="through"/>
          </v:shape>
          <o:OLEObject Type="Embed" ProgID="MS_ClipArt_Gallery.2" ShapeID="_x0000_s1027" DrawAspect="Content" ObjectID="_1828681700" r:id="rId9"/>
        </w:object>
      </w:r>
    </w:p>
    <w:p w14:paraId="3C82CC27" w14:textId="77777777" w:rsidR="004B13B1" w:rsidRDefault="004B13B1">
      <w:pPr>
        <w:pStyle w:val="BodyText"/>
        <w:rPr>
          <w:rFonts w:ascii="BellGothic Blk BT" w:hAnsi="BellGothic Blk BT"/>
          <w:sz w:val="24"/>
        </w:rPr>
      </w:pPr>
    </w:p>
    <w:p w14:paraId="00DED38E" w14:textId="77777777" w:rsidR="004B13B1" w:rsidRDefault="004B13B1">
      <w:pPr>
        <w:pStyle w:val="BodyText"/>
        <w:rPr>
          <w:rFonts w:ascii="BellGothic Blk BT" w:hAnsi="BellGothic Blk BT"/>
          <w:sz w:val="24"/>
        </w:rPr>
      </w:pPr>
    </w:p>
    <w:p w14:paraId="7F66AAD3" w14:textId="77777777" w:rsidR="004B13B1" w:rsidRDefault="004B13B1">
      <w:pPr>
        <w:pStyle w:val="BodyText"/>
        <w:rPr>
          <w:rFonts w:ascii="BellGothic Blk BT" w:hAnsi="BellGothic Blk BT"/>
          <w:sz w:val="24"/>
        </w:rPr>
      </w:pPr>
    </w:p>
    <w:p w14:paraId="20B4625B" w14:textId="77777777" w:rsidR="004B13B1" w:rsidRPr="00353707" w:rsidRDefault="004B13B1">
      <w:pPr>
        <w:pStyle w:val="BodyText"/>
        <w:rPr>
          <w:rFonts w:ascii="BellGothic Blk BT" w:hAnsi="BellGothic Blk BT"/>
          <w:sz w:val="24"/>
        </w:rPr>
      </w:pPr>
    </w:p>
    <w:p w14:paraId="432E0C42" w14:textId="682C5C5A" w:rsidR="002B7EE7" w:rsidRPr="00677A4C" w:rsidRDefault="002B7EE7">
      <w:pPr>
        <w:pStyle w:val="BodyText"/>
        <w:rPr>
          <w:rFonts w:ascii="BellGothic Blk BT" w:hAnsi="BellGothic Blk BT"/>
          <w:sz w:val="28"/>
          <w:szCs w:val="28"/>
        </w:rPr>
      </w:pPr>
      <w:r w:rsidRPr="00677A4C">
        <w:rPr>
          <w:rFonts w:ascii="BellGothic Blk BT" w:hAnsi="BellGothic Blk BT"/>
          <w:sz w:val="28"/>
          <w:szCs w:val="28"/>
        </w:rPr>
        <w:t xml:space="preserve">OFFICE OF THE </w:t>
      </w:r>
      <w:r w:rsidR="00677A4C">
        <w:rPr>
          <w:rFonts w:ascii="BellGothic Blk BT" w:hAnsi="BellGothic Blk BT"/>
          <w:sz w:val="28"/>
          <w:szCs w:val="28"/>
        </w:rPr>
        <w:t>DEPUTY PREMIER</w:t>
      </w:r>
    </w:p>
    <w:p w14:paraId="58991997" w14:textId="77777777" w:rsidR="002B7EE7" w:rsidRDefault="002B7EE7">
      <w:pPr>
        <w:pStyle w:val="BodyText"/>
        <w:rPr>
          <w:rFonts w:ascii="BellGothic Blk BT" w:hAnsi="BellGothic Blk BT"/>
          <w:sz w:val="24"/>
        </w:rPr>
      </w:pPr>
      <w:r>
        <w:rPr>
          <w:rFonts w:ascii="BellGothic Blk BT" w:hAnsi="BellGothic Blk BT"/>
          <w:sz w:val="24"/>
        </w:rPr>
        <w:t>MINISTR</w:t>
      </w:r>
      <w:r w:rsidR="007A7252">
        <w:rPr>
          <w:rFonts w:ascii="BellGothic Blk BT" w:hAnsi="BellGothic Blk BT"/>
          <w:sz w:val="24"/>
        </w:rPr>
        <w:t>Y</w:t>
      </w:r>
      <w:r>
        <w:rPr>
          <w:rFonts w:ascii="BellGothic Blk BT" w:hAnsi="BellGothic Blk BT"/>
          <w:sz w:val="24"/>
        </w:rPr>
        <w:t xml:space="preserve"> </w:t>
      </w:r>
      <w:r w:rsidR="007A7252">
        <w:rPr>
          <w:rFonts w:ascii="BellGothic Blk BT" w:hAnsi="BellGothic Blk BT"/>
          <w:sz w:val="24"/>
        </w:rPr>
        <w:t>OF</w:t>
      </w:r>
      <w:r>
        <w:rPr>
          <w:rFonts w:ascii="BellGothic Blk BT" w:hAnsi="BellGothic Blk BT"/>
          <w:sz w:val="24"/>
        </w:rPr>
        <w:t xml:space="preserve"> </w:t>
      </w:r>
      <w:r w:rsidR="008040E6">
        <w:rPr>
          <w:rFonts w:ascii="BellGothic Blk BT" w:hAnsi="BellGothic Blk BT"/>
          <w:sz w:val="24"/>
        </w:rPr>
        <w:t xml:space="preserve">IMMIGRATION </w:t>
      </w:r>
      <w:r w:rsidR="006D5381">
        <w:rPr>
          <w:rFonts w:ascii="BellGothic Blk BT" w:hAnsi="BellGothic Blk BT"/>
          <w:sz w:val="24"/>
        </w:rPr>
        <w:t>AND</w:t>
      </w:r>
      <w:r>
        <w:rPr>
          <w:rFonts w:ascii="BellGothic Blk BT" w:hAnsi="BellGothic Blk BT"/>
          <w:sz w:val="24"/>
        </w:rPr>
        <w:t xml:space="preserve"> </w:t>
      </w:r>
      <w:r w:rsidR="008040E6">
        <w:rPr>
          <w:rFonts w:ascii="BellGothic Blk BT" w:hAnsi="BellGothic Blk BT"/>
          <w:sz w:val="24"/>
        </w:rPr>
        <w:t>BORDER</w:t>
      </w:r>
      <w:r w:rsidR="007A7252">
        <w:rPr>
          <w:rFonts w:ascii="BellGothic Blk BT" w:hAnsi="BellGothic Blk BT"/>
          <w:sz w:val="24"/>
        </w:rPr>
        <w:t xml:space="preserve"> SERVICES</w:t>
      </w:r>
    </w:p>
    <w:p w14:paraId="047798FD" w14:textId="77777777" w:rsidR="007A7252" w:rsidRDefault="007A7252">
      <w:pPr>
        <w:pStyle w:val="BodyText"/>
        <w:rPr>
          <w:rFonts w:ascii="BellGothic Blk BT" w:hAnsi="BellGothic Blk BT"/>
          <w:sz w:val="24"/>
        </w:rPr>
      </w:pPr>
    </w:p>
    <w:p w14:paraId="7B34E14C" w14:textId="77777777" w:rsidR="002B7EE7" w:rsidRDefault="002B7EE7">
      <w:pPr>
        <w:pStyle w:val="Heading2"/>
        <w:rPr>
          <w:rFonts w:ascii="BellGothic Blk BT" w:hAnsi="BellGothic Blk BT"/>
        </w:rPr>
        <w:sectPr w:rsidR="002B7EE7" w:rsidSect="000A01D9">
          <w:pgSz w:w="12240" w:h="15840"/>
          <w:pgMar w:top="720" w:right="720" w:bottom="720" w:left="720" w:header="720" w:footer="720" w:gutter="0"/>
          <w:cols w:space="720"/>
          <w:docGrid w:linePitch="360"/>
        </w:sectPr>
      </w:pPr>
    </w:p>
    <w:p w14:paraId="36B41413" w14:textId="77777777" w:rsidR="002B7EE7" w:rsidRPr="00C675FD" w:rsidRDefault="002B7EE7" w:rsidP="002B7EE7">
      <w:pPr>
        <w:pStyle w:val="Heading2"/>
        <w:jc w:val="left"/>
        <w:rPr>
          <w:b w:val="0"/>
          <w:sz w:val="20"/>
        </w:rPr>
      </w:pPr>
      <w:r w:rsidRPr="00C675FD">
        <w:rPr>
          <w:b w:val="0"/>
          <w:sz w:val="20"/>
        </w:rPr>
        <w:t>Three Degree Office Complex</w:t>
      </w:r>
    </w:p>
    <w:p w14:paraId="3572F34C" w14:textId="77777777" w:rsidR="002B7EE7" w:rsidRPr="00C675FD" w:rsidRDefault="002B7EE7" w:rsidP="002B7EE7">
      <w:pPr>
        <w:pStyle w:val="Heading2"/>
        <w:jc w:val="left"/>
        <w:rPr>
          <w:b w:val="0"/>
          <w:sz w:val="20"/>
        </w:rPr>
      </w:pPr>
      <w:r w:rsidRPr="00C675FD">
        <w:rPr>
          <w:b w:val="0"/>
          <w:sz w:val="20"/>
        </w:rPr>
        <w:t xml:space="preserve">Airport Road, Grand Turk, </w:t>
      </w:r>
    </w:p>
    <w:p w14:paraId="15EC6EA6" w14:textId="77777777" w:rsidR="00C539A8" w:rsidRPr="00C675FD" w:rsidRDefault="002B7EE7" w:rsidP="002B7EE7">
      <w:pPr>
        <w:pStyle w:val="Heading2"/>
        <w:jc w:val="left"/>
        <w:rPr>
          <w:b w:val="0"/>
          <w:sz w:val="20"/>
        </w:rPr>
      </w:pPr>
      <w:r w:rsidRPr="00C675FD">
        <w:rPr>
          <w:b w:val="0"/>
          <w:sz w:val="20"/>
        </w:rPr>
        <w:t>Turks &amp; Caicos Islands, British West Indies</w:t>
      </w:r>
    </w:p>
    <w:p w14:paraId="42094B49" w14:textId="77777777" w:rsidR="00106174" w:rsidRDefault="002B7EE7" w:rsidP="002B7EE7">
      <w:pPr>
        <w:rPr>
          <w:bCs/>
          <w:sz w:val="20"/>
          <w:szCs w:val="20"/>
        </w:rPr>
      </w:pPr>
      <w:r w:rsidRPr="00C675FD">
        <w:rPr>
          <w:bCs/>
          <w:sz w:val="20"/>
          <w:szCs w:val="20"/>
        </w:rPr>
        <w:t xml:space="preserve">Tel: 1 (649) 338-2937 </w:t>
      </w:r>
    </w:p>
    <w:p w14:paraId="2A5D8716" w14:textId="2D7B3D8F" w:rsidR="00C539A8" w:rsidRPr="00C675FD" w:rsidRDefault="00106174" w:rsidP="002B7EE7">
      <w:pPr>
        <w:rPr>
          <w:bCs/>
          <w:sz w:val="20"/>
          <w:szCs w:val="20"/>
        </w:rPr>
      </w:pPr>
      <w:r>
        <w:rPr>
          <w:bCs/>
          <w:sz w:val="20"/>
          <w:szCs w:val="20"/>
        </w:rPr>
        <w:t xml:space="preserve">Email: </w:t>
      </w:r>
      <w:hyperlink r:id="rId10" w:history="1">
        <w:r w:rsidRPr="006736D4">
          <w:rPr>
            <w:rStyle w:val="Hyperlink"/>
            <w:bCs/>
            <w:sz w:val="20"/>
            <w:szCs w:val="20"/>
          </w:rPr>
          <w:t>kwilliams@gov.tc</w:t>
        </w:r>
      </w:hyperlink>
      <w:r>
        <w:rPr>
          <w:bCs/>
          <w:sz w:val="20"/>
          <w:szCs w:val="20"/>
        </w:rPr>
        <w:t xml:space="preserve"> </w:t>
      </w:r>
      <w:r>
        <w:rPr>
          <w:bCs/>
          <w:sz w:val="20"/>
          <w:szCs w:val="20"/>
        </w:rPr>
        <w:tab/>
      </w:r>
      <w:r w:rsidR="002B7EE7" w:rsidRPr="00C675FD">
        <w:rPr>
          <w:bCs/>
          <w:sz w:val="20"/>
          <w:szCs w:val="20"/>
        </w:rPr>
        <w:t xml:space="preserve">    </w:t>
      </w:r>
    </w:p>
    <w:p w14:paraId="611413FB" w14:textId="77777777" w:rsidR="00952F09" w:rsidRPr="00C675FD" w:rsidRDefault="00F427D8" w:rsidP="002B7EE7">
      <w:pPr>
        <w:rPr>
          <w:bCs/>
          <w:sz w:val="20"/>
          <w:szCs w:val="20"/>
        </w:rPr>
      </w:pPr>
      <w:r>
        <w:rPr>
          <w:bCs/>
          <w:sz w:val="20"/>
          <w:szCs w:val="20"/>
        </w:rPr>
        <w:t xml:space="preserve"> </w:t>
      </w:r>
    </w:p>
    <w:p w14:paraId="5A4F7ED7" w14:textId="77777777" w:rsidR="002B7EE7" w:rsidRPr="00C675FD" w:rsidRDefault="004611E4" w:rsidP="002B7EE7">
      <w:pPr>
        <w:rPr>
          <w:bCs/>
          <w:sz w:val="20"/>
          <w:szCs w:val="20"/>
        </w:rPr>
      </w:pPr>
      <w:r w:rsidRPr="00C675FD">
        <w:rPr>
          <w:noProof/>
        </w:rPr>
        <mc:AlternateContent>
          <mc:Choice Requires="wps">
            <w:drawing>
              <wp:anchor distT="4294967295" distB="4294967295" distL="114300" distR="114300" simplePos="0" relativeHeight="251657216" behindDoc="0" locked="0" layoutInCell="1" allowOverlap="1" wp14:anchorId="41E3B626" wp14:editId="57CFB4CF">
                <wp:simplePos x="0" y="0"/>
                <wp:positionH relativeFrom="column">
                  <wp:posOffset>9525</wp:posOffset>
                </wp:positionH>
                <wp:positionV relativeFrom="paragraph">
                  <wp:posOffset>74929</wp:posOffset>
                </wp:positionV>
                <wp:extent cx="5943600" cy="0"/>
                <wp:effectExtent l="0" t="1905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EBDADC"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5.9pt" to="468.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" strokeweight="2.5pt">
                <o:lock v:ext="edit" shapetype="f"/>
              </v:line>
            </w:pict>
          </mc:Fallback>
        </mc:AlternateContent>
      </w:r>
    </w:p>
    <w:p w14:paraId="4782F9B2" w14:textId="77777777" w:rsidR="002B7EE7" w:rsidRPr="00C675FD" w:rsidRDefault="00F17E37" w:rsidP="002B7EE7">
      <w:pPr>
        <w:jc w:val="right"/>
        <w:rPr>
          <w:bCs/>
          <w:sz w:val="20"/>
          <w:szCs w:val="20"/>
        </w:rPr>
      </w:pPr>
      <w:r w:rsidRPr="00C675FD">
        <w:rPr>
          <w:bCs/>
          <w:sz w:val="20"/>
          <w:szCs w:val="20"/>
        </w:rPr>
        <w:t>Border House (Upstairs)</w:t>
      </w:r>
    </w:p>
    <w:p w14:paraId="06B1FA88" w14:textId="77777777" w:rsidR="002B7EE7" w:rsidRPr="00C675FD" w:rsidRDefault="00F17E37" w:rsidP="002B7EE7">
      <w:pPr>
        <w:jc w:val="right"/>
        <w:rPr>
          <w:bCs/>
          <w:sz w:val="20"/>
          <w:szCs w:val="20"/>
        </w:rPr>
      </w:pPr>
      <w:r w:rsidRPr="00C675FD">
        <w:rPr>
          <w:bCs/>
          <w:sz w:val="20"/>
          <w:szCs w:val="20"/>
        </w:rPr>
        <w:t>Airport Road, Providenciales</w:t>
      </w:r>
    </w:p>
    <w:p w14:paraId="74E4F737" w14:textId="77777777" w:rsidR="002B7EE7" w:rsidRPr="00C675FD" w:rsidRDefault="002B7EE7" w:rsidP="002B7EE7">
      <w:pPr>
        <w:pStyle w:val="Heading2"/>
        <w:jc w:val="right"/>
        <w:rPr>
          <w:b w:val="0"/>
          <w:sz w:val="20"/>
        </w:rPr>
      </w:pPr>
      <w:r w:rsidRPr="00C675FD">
        <w:rPr>
          <w:b w:val="0"/>
          <w:sz w:val="20"/>
        </w:rPr>
        <w:t>Turks &amp; Caicos Islands, British West Indies</w:t>
      </w:r>
    </w:p>
    <w:p w14:paraId="58A0E767" w14:textId="77777777" w:rsidR="00106174" w:rsidRDefault="002B7EE7" w:rsidP="002B7EE7">
      <w:pPr>
        <w:jc w:val="right"/>
        <w:rPr>
          <w:rFonts w:ascii="Calibri" w:hAnsi="Calibri"/>
          <w:bCs/>
          <w:sz w:val="20"/>
          <w:szCs w:val="20"/>
        </w:rPr>
      </w:pPr>
      <w:r w:rsidRPr="00C675FD">
        <w:rPr>
          <w:bCs/>
          <w:sz w:val="20"/>
          <w:szCs w:val="20"/>
        </w:rPr>
        <w:t>Tel: 1 (649) 338-</w:t>
      </w:r>
      <w:r w:rsidR="007A7252" w:rsidRPr="00C675FD">
        <w:rPr>
          <w:bCs/>
          <w:sz w:val="20"/>
          <w:szCs w:val="20"/>
        </w:rPr>
        <w:t>564</w:t>
      </w:r>
      <w:r w:rsidR="001A68E5" w:rsidRPr="00C675FD">
        <w:rPr>
          <w:bCs/>
          <w:sz w:val="20"/>
          <w:szCs w:val="20"/>
        </w:rPr>
        <w:t>2</w:t>
      </w:r>
      <w:r w:rsidRPr="002B7EE7">
        <w:rPr>
          <w:rFonts w:ascii="Calibri" w:hAnsi="Calibri"/>
          <w:bCs/>
          <w:sz w:val="20"/>
          <w:szCs w:val="20"/>
        </w:rPr>
        <w:t xml:space="preserve">  </w:t>
      </w:r>
    </w:p>
    <w:p w14:paraId="0EECE195" w14:textId="46E8819E" w:rsidR="002B7EE7" w:rsidRDefault="003964C4" w:rsidP="002B7EE7">
      <w:pPr>
        <w:jc w:val="right"/>
        <w:rPr>
          <w:rFonts w:ascii="Calibri" w:hAnsi="Calibri"/>
          <w:bCs/>
          <w:sz w:val="20"/>
          <w:szCs w:val="20"/>
        </w:rPr>
      </w:pPr>
      <w:r>
        <w:rPr>
          <w:rFonts w:ascii="Calibri" w:hAnsi="Calibri"/>
          <w:bCs/>
          <w:sz w:val="20"/>
          <w:szCs w:val="20"/>
        </w:rPr>
        <w:t xml:space="preserve">Email: </w:t>
      </w:r>
      <w:hyperlink r:id="rId11" w:history="1">
        <w:r w:rsidR="004F6081" w:rsidRPr="00D11F14">
          <w:rPr>
            <w:rStyle w:val="Hyperlink"/>
            <w:rFonts w:ascii="Calibri" w:hAnsi="Calibri"/>
            <w:bCs/>
            <w:sz w:val="20"/>
            <w:szCs w:val="20"/>
          </w:rPr>
          <w:t>dshiggs@gov.tc</w:t>
        </w:r>
      </w:hyperlink>
      <w:r>
        <w:rPr>
          <w:rFonts w:ascii="Calibri" w:hAnsi="Calibri"/>
          <w:bCs/>
          <w:sz w:val="20"/>
          <w:szCs w:val="20"/>
        </w:rPr>
        <w:t xml:space="preserve"> </w:t>
      </w:r>
      <w:r w:rsidR="002B7EE7" w:rsidRPr="002B7EE7">
        <w:rPr>
          <w:rFonts w:ascii="Calibri" w:hAnsi="Calibri"/>
          <w:bCs/>
          <w:sz w:val="20"/>
          <w:szCs w:val="20"/>
        </w:rPr>
        <w:t xml:space="preserve">   </w:t>
      </w:r>
    </w:p>
    <w:p w14:paraId="3096DA7C" w14:textId="77777777" w:rsidR="002B7EE7" w:rsidRPr="002B7EE7" w:rsidRDefault="002B7EE7" w:rsidP="002B7EE7">
      <w:pPr>
        <w:jc w:val="right"/>
        <w:rPr>
          <w:rFonts w:ascii="Calibri" w:hAnsi="Calibri"/>
          <w:bCs/>
          <w:sz w:val="20"/>
          <w:szCs w:val="20"/>
        </w:rPr>
      </w:pPr>
    </w:p>
    <w:p w14:paraId="26489A38" w14:textId="77777777" w:rsidR="002B7EE7" w:rsidRDefault="002B7EE7" w:rsidP="000B49BA">
      <w:pPr>
        <w:rPr>
          <w:noProof/>
        </w:rPr>
        <w:sectPr w:rsidR="002B7EE7" w:rsidSect="002B7EE7">
          <w:type w:val="continuous"/>
          <w:pgSz w:w="12240" w:h="15840"/>
          <w:pgMar w:top="360" w:right="1620" w:bottom="180" w:left="1440" w:header="720" w:footer="720" w:gutter="0"/>
          <w:cols w:num="2" w:space="720"/>
          <w:docGrid w:linePitch="360"/>
        </w:sectPr>
      </w:pPr>
    </w:p>
    <w:p w14:paraId="02424858" w14:textId="3B8BD86D" w:rsidR="007949D4" w:rsidRDefault="007949D4" w:rsidP="008D1DBD">
      <w:pPr>
        <w:rPr>
          <w:b/>
          <w:noProof/>
        </w:rPr>
      </w:pPr>
    </w:p>
    <w:p w14:paraId="66C0CCE7" w14:textId="46B7727D" w:rsidR="00557DB5" w:rsidRDefault="00732E77" w:rsidP="008D1DBD">
      <w:pPr>
        <w:rPr>
          <w:b/>
          <w:noProof/>
        </w:rPr>
      </w:pPr>
      <w:r>
        <w:rPr>
          <w:b/>
          <w:noProof/>
        </w:rPr>
        <w:t>January 2</w:t>
      </w:r>
      <w:r w:rsidRPr="00732E77">
        <w:rPr>
          <w:b/>
          <w:noProof/>
          <w:vertAlign w:val="superscript"/>
        </w:rPr>
        <w:t>nd</w:t>
      </w:r>
      <w:r>
        <w:rPr>
          <w:b/>
          <w:noProof/>
        </w:rPr>
        <w:t xml:space="preserve">  2026</w:t>
      </w:r>
    </w:p>
    <w:p w14:paraId="3A992E41" w14:textId="77777777" w:rsidR="00557DB5" w:rsidRDefault="00B652A0" w:rsidP="00557DB5">
      <w:r>
        <w:rPr>
          <w:b/>
          <w:noProof/>
        </w:rPr>
        <w:tab/>
      </w:r>
    </w:p>
    <w:p w14:paraId="4A21BC6B" w14:textId="77777777" w:rsidR="00353707" w:rsidRDefault="00353707" w:rsidP="00353707">
      <w:pPr>
        <w:jc w:val="center"/>
        <w:rPr>
          <w:b/>
          <w:u w:val="single"/>
        </w:rPr>
      </w:pPr>
    </w:p>
    <w:p w14:paraId="3885067A" w14:textId="43F67067" w:rsidR="00557DB5" w:rsidRPr="00353707" w:rsidRDefault="00353707" w:rsidP="00353707">
      <w:pPr>
        <w:jc w:val="center"/>
        <w:rPr>
          <w:b/>
          <w:u w:val="single"/>
        </w:rPr>
      </w:pPr>
      <w:r w:rsidRPr="00353707">
        <w:rPr>
          <w:b/>
          <w:u w:val="single"/>
        </w:rPr>
        <w:t>Public Consult</w:t>
      </w:r>
      <w:r w:rsidR="00C9109F">
        <w:rPr>
          <w:b/>
          <w:u w:val="single"/>
        </w:rPr>
        <w:t>ation Brief: The Immigration Bill</w:t>
      </w:r>
      <w:r w:rsidRPr="00353707">
        <w:rPr>
          <w:b/>
          <w:u w:val="single"/>
        </w:rPr>
        <w:t xml:space="preserve"> 2026 and Modernization Framework</w:t>
      </w:r>
    </w:p>
    <w:p w14:paraId="54A34E38" w14:textId="77777777" w:rsidR="00353707" w:rsidRDefault="00353707" w:rsidP="00557DB5">
      <w:pPr>
        <w:rPr>
          <w:b/>
          <w:bCs/>
          <w:sz w:val="23"/>
          <w:szCs w:val="23"/>
          <w:bdr w:val="none" w:sz="0" w:space="0" w:color="auto" w:frame="1"/>
        </w:rPr>
      </w:pPr>
    </w:p>
    <w:p w14:paraId="36047466" w14:textId="77777777" w:rsidR="00C9109F" w:rsidRDefault="00C9109F" w:rsidP="0015667C">
      <w:pPr>
        <w:jc w:val="both"/>
        <w:rPr>
          <w:b/>
          <w:bCs/>
          <w:sz w:val="23"/>
          <w:szCs w:val="23"/>
          <w:bdr w:val="none" w:sz="0" w:space="0" w:color="auto" w:frame="1"/>
        </w:rPr>
      </w:pPr>
    </w:p>
    <w:p w14:paraId="62564598" w14:textId="75862348" w:rsidR="00557DB5" w:rsidRPr="0038369B" w:rsidRDefault="00557DB5" w:rsidP="0015667C">
      <w:pPr>
        <w:jc w:val="both"/>
        <w:rPr>
          <w:sz w:val="23"/>
          <w:szCs w:val="23"/>
        </w:rPr>
      </w:pPr>
      <w:r w:rsidRPr="0038369B">
        <w:rPr>
          <w:b/>
          <w:bCs/>
          <w:sz w:val="23"/>
          <w:szCs w:val="23"/>
          <w:bdr w:val="none" w:sz="0" w:space="0" w:color="auto" w:frame="1"/>
        </w:rPr>
        <w:t>Introduction</w:t>
      </w:r>
    </w:p>
    <w:p w14:paraId="22B8B8CE" w14:textId="77777777" w:rsidR="00557DB5" w:rsidRDefault="00557DB5" w:rsidP="0015667C">
      <w:pPr>
        <w:spacing w:before="180"/>
        <w:jc w:val="both"/>
        <w:rPr>
          <w:sz w:val="23"/>
          <w:szCs w:val="23"/>
        </w:rPr>
      </w:pPr>
      <w:r w:rsidRPr="0038369B">
        <w:rPr>
          <w:sz w:val="23"/>
          <w:szCs w:val="23"/>
        </w:rPr>
        <w:t>We are pleased to present the new Turks and Caicos Islands Immigration Bill 202</w:t>
      </w:r>
      <w:r>
        <w:rPr>
          <w:sz w:val="23"/>
          <w:szCs w:val="23"/>
        </w:rPr>
        <w:t>6</w:t>
      </w:r>
      <w:r w:rsidRPr="0038369B">
        <w:rPr>
          <w:sz w:val="23"/>
          <w:szCs w:val="23"/>
        </w:rPr>
        <w:t xml:space="preserve"> and its accompanying Immigration Regulations, along with the Immigration (Residence and Employment Rights Certificate) (Points System) Regulations 202</w:t>
      </w:r>
      <w:r>
        <w:rPr>
          <w:sz w:val="23"/>
          <w:szCs w:val="23"/>
        </w:rPr>
        <w:t>6</w:t>
      </w:r>
      <w:r w:rsidRPr="0038369B">
        <w:rPr>
          <w:sz w:val="23"/>
          <w:szCs w:val="23"/>
        </w:rPr>
        <w:t xml:space="preserve">, for comprehensive stakeholder consultation. </w:t>
      </w:r>
    </w:p>
    <w:p w14:paraId="23966F7C" w14:textId="77777777" w:rsidR="00557DB5" w:rsidRPr="0038369B" w:rsidRDefault="00557DB5" w:rsidP="0015667C">
      <w:pPr>
        <w:spacing w:before="180"/>
        <w:jc w:val="both"/>
        <w:rPr>
          <w:sz w:val="23"/>
          <w:szCs w:val="23"/>
        </w:rPr>
      </w:pPr>
      <w:r w:rsidRPr="0038369B">
        <w:rPr>
          <w:sz w:val="23"/>
          <w:szCs w:val="23"/>
        </w:rPr>
        <w:t>This landmark legislative is designed to repeal and replace the existing Immigration Act and Regulations. It introduces a modernized and robust framework to address the evolving immigration landscape of the Turks and Caicos Islands (TCI), ensuring enhanced national security, fostering economic stability, and streamlining processes for legitimate trade and travel.</w:t>
      </w:r>
    </w:p>
    <w:p w14:paraId="5D3FA7CF" w14:textId="77777777" w:rsidR="00557DB5" w:rsidRDefault="00557DB5" w:rsidP="0015667C">
      <w:pPr>
        <w:jc w:val="both"/>
        <w:rPr>
          <w:b/>
          <w:bCs/>
          <w:sz w:val="23"/>
          <w:szCs w:val="23"/>
          <w:bdr w:val="none" w:sz="0" w:space="0" w:color="auto" w:frame="1"/>
        </w:rPr>
      </w:pPr>
    </w:p>
    <w:p w14:paraId="6E15A024" w14:textId="77777777" w:rsidR="00557DB5" w:rsidRPr="0038369B" w:rsidRDefault="00557DB5" w:rsidP="0015667C">
      <w:pPr>
        <w:jc w:val="both"/>
        <w:rPr>
          <w:sz w:val="23"/>
          <w:szCs w:val="23"/>
        </w:rPr>
      </w:pPr>
      <w:r>
        <w:rPr>
          <w:b/>
          <w:bCs/>
          <w:sz w:val="23"/>
          <w:szCs w:val="23"/>
          <w:bdr w:val="none" w:sz="0" w:space="0" w:color="auto" w:frame="1"/>
        </w:rPr>
        <w:t>Recent Policy Decisions – Visa/Work Permit</w:t>
      </w:r>
      <w:r w:rsidRPr="0038369B">
        <w:rPr>
          <w:b/>
          <w:bCs/>
          <w:sz w:val="23"/>
          <w:szCs w:val="23"/>
          <w:bdr w:val="none" w:sz="0" w:space="0" w:color="auto" w:frame="1"/>
        </w:rPr>
        <w:t xml:space="preserve"> Moratorium and its Context</w:t>
      </w:r>
    </w:p>
    <w:p w14:paraId="4EAD6D27" w14:textId="77777777" w:rsidR="00557DB5" w:rsidRDefault="00557DB5" w:rsidP="0015667C">
      <w:pPr>
        <w:spacing w:before="180"/>
        <w:jc w:val="both"/>
        <w:rPr>
          <w:sz w:val="23"/>
          <w:szCs w:val="23"/>
        </w:rPr>
      </w:pPr>
      <w:r w:rsidRPr="0038369B">
        <w:rPr>
          <w:sz w:val="23"/>
          <w:szCs w:val="23"/>
        </w:rPr>
        <w:t>It is crucial to understand that the development of this new immigration framework was partly informed by the recent moratorium on visa</w:t>
      </w:r>
      <w:r>
        <w:rPr>
          <w:sz w:val="23"/>
          <w:szCs w:val="23"/>
        </w:rPr>
        <w:t xml:space="preserve"> &amp; Work Permit</w:t>
      </w:r>
      <w:r w:rsidRPr="0038369B">
        <w:rPr>
          <w:sz w:val="23"/>
          <w:szCs w:val="23"/>
        </w:rPr>
        <w:t xml:space="preserve"> issuance to certain nationals. This moratorium was implemented to provide the </w:t>
      </w:r>
      <w:r>
        <w:rPr>
          <w:sz w:val="23"/>
          <w:szCs w:val="23"/>
        </w:rPr>
        <w:t>Ministry of Immigration &amp; Border Services</w:t>
      </w:r>
      <w:r w:rsidRPr="0038369B">
        <w:rPr>
          <w:sz w:val="23"/>
          <w:szCs w:val="23"/>
        </w:rPr>
        <w:t xml:space="preserve"> with the opportunity to thoroughly review the connection between increased crime and the rising number of foreign nationals entering the Turks and Caicos Islands. </w:t>
      </w:r>
    </w:p>
    <w:p w14:paraId="5BA2097B" w14:textId="5B7CA323" w:rsidR="00557DB5" w:rsidRPr="0038369B" w:rsidRDefault="00557DB5" w:rsidP="0015667C">
      <w:pPr>
        <w:spacing w:before="180"/>
        <w:jc w:val="both"/>
        <w:rPr>
          <w:sz w:val="23"/>
          <w:szCs w:val="23"/>
        </w:rPr>
      </w:pPr>
      <w:r w:rsidRPr="0038369B">
        <w:rPr>
          <w:sz w:val="23"/>
          <w:szCs w:val="23"/>
        </w:rPr>
        <w:t xml:space="preserve">Specifically, concerns regarding the overstaying of visa nationals, and the rate at which these individuals apply for work permits after initially entering on a visitor's visa, were key drivers. </w:t>
      </w:r>
      <w:r>
        <w:rPr>
          <w:sz w:val="23"/>
          <w:szCs w:val="23"/>
        </w:rPr>
        <w:t xml:space="preserve">Additionally, a comprehensive review of crime statistics and the correlation between criminality and work permit holders. </w:t>
      </w:r>
    </w:p>
    <w:p w14:paraId="72529E9B" w14:textId="77777777" w:rsidR="00557DB5" w:rsidRDefault="00557DB5" w:rsidP="0015667C">
      <w:pPr>
        <w:spacing w:before="180"/>
        <w:jc w:val="both"/>
        <w:rPr>
          <w:sz w:val="23"/>
          <w:szCs w:val="23"/>
        </w:rPr>
      </w:pPr>
      <w:r w:rsidRPr="0038369B">
        <w:rPr>
          <w:sz w:val="23"/>
          <w:szCs w:val="23"/>
        </w:rPr>
        <w:t>This comprehensive review aimed to inform the policy decisions underpinning this new legislation, ensuring a more targeted and effective approach to managing our borders and population dynamics.</w:t>
      </w:r>
    </w:p>
    <w:p w14:paraId="669B81DD" w14:textId="77777777" w:rsidR="00557DB5" w:rsidRPr="0038369B" w:rsidRDefault="00557DB5" w:rsidP="0015667C">
      <w:pPr>
        <w:spacing w:before="180"/>
        <w:jc w:val="both"/>
        <w:rPr>
          <w:sz w:val="23"/>
          <w:szCs w:val="23"/>
        </w:rPr>
      </w:pPr>
    </w:p>
    <w:p w14:paraId="76D1E84E" w14:textId="77777777" w:rsidR="00557DB5" w:rsidRPr="0038369B" w:rsidRDefault="00557DB5" w:rsidP="0015667C">
      <w:pPr>
        <w:jc w:val="both"/>
        <w:rPr>
          <w:sz w:val="23"/>
          <w:szCs w:val="23"/>
        </w:rPr>
      </w:pPr>
      <w:r w:rsidRPr="0038369B">
        <w:rPr>
          <w:b/>
          <w:bCs/>
          <w:sz w:val="23"/>
          <w:szCs w:val="23"/>
          <w:bdr w:val="none" w:sz="0" w:space="0" w:color="auto" w:frame="1"/>
        </w:rPr>
        <w:t>Key Transformative Changes in the Bill and Regulations</w:t>
      </w:r>
    </w:p>
    <w:p w14:paraId="6DC9DD30" w14:textId="77777777" w:rsidR="00557DB5" w:rsidRDefault="00557DB5" w:rsidP="0015667C">
      <w:pPr>
        <w:spacing w:before="180"/>
        <w:jc w:val="both"/>
        <w:rPr>
          <w:sz w:val="23"/>
          <w:szCs w:val="23"/>
        </w:rPr>
      </w:pPr>
      <w:r w:rsidRPr="0038369B">
        <w:rPr>
          <w:sz w:val="23"/>
          <w:szCs w:val="23"/>
        </w:rPr>
        <w:t>The Immigration Bill 202</w:t>
      </w:r>
      <w:r>
        <w:rPr>
          <w:sz w:val="23"/>
          <w:szCs w:val="23"/>
        </w:rPr>
        <w:t>6</w:t>
      </w:r>
      <w:r w:rsidRPr="0038369B">
        <w:rPr>
          <w:sz w:val="23"/>
          <w:szCs w:val="23"/>
        </w:rPr>
        <w:t xml:space="preserve"> establishes the overarching legal framework, while the Immigration Regulations 202</w:t>
      </w:r>
      <w:r>
        <w:rPr>
          <w:sz w:val="23"/>
          <w:szCs w:val="23"/>
        </w:rPr>
        <w:t>6</w:t>
      </w:r>
      <w:r w:rsidRPr="0038369B">
        <w:rPr>
          <w:sz w:val="23"/>
          <w:szCs w:val="23"/>
        </w:rPr>
        <w:t xml:space="preserve"> provide the detailed operational procedures and specific requirements that give effect to the Bill's provisions. </w:t>
      </w:r>
    </w:p>
    <w:p w14:paraId="74376728" w14:textId="77777777" w:rsidR="00557DB5" w:rsidRPr="0038369B" w:rsidRDefault="00557DB5" w:rsidP="0015667C">
      <w:pPr>
        <w:spacing w:before="180"/>
        <w:jc w:val="both"/>
        <w:rPr>
          <w:sz w:val="23"/>
          <w:szCs w:val="23"/>
        </w:rPr>
      </w:pPr>
      <w:r w:rsidRPr="0038369B">
        <w:rPr>
          <w:sz w:val="23"/>
          <w:szCs w:val="23"/>
        </w:rPr>
        <w:t>The Immigration (Residence and Employment Rights Certificate) (Points System) Regulations 202</w:t>
      </w:r>
      <w:r>
        <w:rPr>
          <w:sz w:val="23"/>
          <w:szCs w:val="23"/>
        </w:rPr>
        <w:t>6</w:t>
      </w:r>
      <w:r w:rsidRPr="0038369B">
        <w:rPr>
          <w:sz w:val="23"/>
          <w:szCs w:val="23"/>
        </w:rPr>
        <w:t xml:space="preserve"> further introduces a critical new pathway for long-term residency. Together, these documents introduce several pivotal changes aimed at fundamentally reshaping immigration management in the TCI:</w:t>
      </w:r>
    </w:p>
    <w:p w14:paraId="0C7D58F4" w14:textId="77777777" w:rsidR="00557DB5" w:rsidRDefault="00557DB5" w:rsidP="0015667C">
      <w:pPr>
        <w:numPr>
          <w:ilvl w:val="0"/>
          <w:numId w:val="34"/>
        </w:numPr>
        <w:ind w:left="810"/>
        <w:rPr>
          <w:sz w:val="23"/>
          <w:szCs w:val="23"/>
        </w:rPr>
      </w:pPr>
      <w:r w:rsidRPr="0038369B">
        <w:rPr>
          <w:b/>
          <w:bCs/>
          <w:sz w:val="23"/>
          <w:szCs w:val="23"/>
          <w:bdr w:val="none" w:sz="0" w:space="0" w:color="auto" w:frame="1"/>
        </w:rPr>
        <w:lastRenderedPageBreak/>
        <w:t>Integrated Border Control and Modernized Entry/Exit Mechanisms:</w:t>
      </w:r>
      <w:r w:rsidRPr="0038369B">
        <w:rPr>
          <w:sz w:val="23"/>
          <w:szCs w:val="23"/>
        </w:rPr>
        <w:t xml:space="preserve"> The Bill formalizes the operational shift towards a unified Border Force, consolidating functions previously managed by separate Customs and Immigration Departments. </w:t>
      </w:r>
    </w:p>
    <w:p w14:paraId="3FCA4003" w14:textId="77777777" w:rsidR="00557DB5" w:rsidRDefault="00557DB5" w:rsidP="0015667C">
      <w:pPr>
        <w:ind w:left="810"/>
        <w:rPr>
          <w:sz w:val="23"/>
          <w:szCs w:val="23"/>
        </w:rPr>
      </w:pPr>
    </w:p>
    <w:p w14:paraId="4D0695D8" w14:textId="77777777" w:rsidR="00557DB5" w:rsidRDefault="00557DB5" w:rsidP="0015667C">
      <w:pPr>
        <w:ind w:left="810"/>
        <w:rPr>
          <w:sz w:val="23"/>
          <w:szCs w:val="23"/>
        </w:rPr>
      </w:pPr>
      <w:r w:rsidRPr="0038369B">
        <w:rPr>
          <w:sz w:val="23"/>
          <w:szCs w:val="23"/>
        </w:rPr>
        <w:t xml:space="preserve">The Regulations further detail the stringent new </w:t>
      </w:r>
      <w:r w:rsidRPr="0038369B">
        <w:rPr>
          <w:sz w:val="23"/>
          <w:szCs w:val="23"/>
          <w:bdr w:val="none" w:sz="0" w:space="0" w:color="auto" w:frame="1"/>
        </w:rPr>
        <w:t>Advance Passenger Information</w:t>
      </w:r>
      <w:r w:rsidRPr="0038369B">
        <w:rPr>
          <w:b/>
          <w:bCs/>
          <w:sz w:val="23"/>
          <w:szCs w:val="23"/>
          <w:bdr w:val="none" w:sz="0" w:space="0" w:color="auto" w:frame="1"/>
        </w:rPr>
        <w:t xml:space="preserve"> (API)</w:t>
      </w:r>
      <w:r w:rsidRPr="0038369B">
        <w:rPr>
          <w:sz w:val="23"/>
          <w:szCs w:val="23"/>
        </w:rPr>
        <w:t xml:space="preserve"> requirements (Bill, Clause 11, 16; Regulations, Reg. 3, 4, 11). Captains, masters, and local agents of ships and aircraft are now mandated to provide comprehensive passenger and crew data within specified timeframes (e.g., 24 hours for ship arrival notice, 1 hour for aircraft arrival notice; 30 minutes before arrival for manifests) and submit outgoing manifests. Failure to comply incurs significant penalties (Regulations, Reg. 3(2), 4(5), 11(3)). To bolster security, the Regulations introduce strict </w:t>
      </w:r>
      <w:r w:rsidRPr="0038369B">
        <w:rPr>
          <w:sz w:val="23"/>
          <w:szCs w:val="23"/>
          <w:bdr w:val="none" w:sz="0" w:space="0" w:color="auto" w:frame="1"/>
        </w:rPr>
        <w:t>Carrier's Liability</w:t>
      </w:r>
      <w:r w:rsidRPr="0038369B">
        <w:rPr>
          <w:sz w:val="23"/>
          <w:szCs w:val="23"/>
        </w:rPr>
        <w:t xml:space="preserve"> (Regulations, Reg. 6) for persons arriving without proper documentation (immigration document, visa, ETA), imposing a fine of $10,000 per person on the ship or aircraft owner. </w:t>
      </w:r>
    </w:p>
    <w:p w14:paraId="10AF68BF" w14:textId="77777777" w:rsidR="00557DB5" w:rsidRDefault="00557DB5" w:rsidP="0015667C">
      <w:pPr>
        <w:ind w:left="810"/>
        <w:rPr>
          <w:sz w:val="23"/>
          <w:szCs w:val="23"/>
        </w:rPr>
      </w:pPr>
    </w:p>
    <w:p w14:paraId="345222BB" w14:textId="6062D331" w:rsidR="00557DB5" w:rsidRDefault="00557DB5" w:rsidP="0015667C">
      <w:pPr>
        <w:ind w:left="810"/>
        <w:rPr>
          <w:sz w:val="23"/>
          <w:szCs w:val="23"/>
        </w:rPr>
      </w:pPr>
      <w:r w:rsidRPr="0038369B">
        <w:rPr>
          <w:sz w:val="23"/>
          <w:szCs w:val="23"/>
        </w:rPr>
        <w:t xml:space="preserve">New requirements for </w:t>
      </w:r>
      <w:r w:rsidRPr="0038369B">
        <w:rPr>
          <w:sz w:val="23"/>
          <w:szCs w:val="23"/>
          <w:bdr w:val="none" w:sz="0" w:space="0" w:color="auto" w:frame="1"/>
        </w:rPr>
        <w:t xml:space="preserve">Electronic Travel </w:t>
      </w:r>
      <w:r w:rsidR="00C9109F" w:rsidRPr="0038369B">
        <w:rPr>
          <w:sz w:val="23"/>
          <w:szCs w:val="23"/>
          <w:bdr w:val="none" w:sz="0" w:space="0" w:color="auto" w:frame="1"/>
        </w:rPr>
        <w:t>Authorization</w:t>
      </w:r>
      <w:r w:rsidRPr="0038369B">
        <w:rPr>
          <w:b/>
          <w:bCs/>
          <w:sz w:val="23"/>
          <w:szCs w:val="23"/>
          <w:bdr w:val="none" w:sz="0" w:space="0" w:color="auto" w:frame="1"/>
        </w:rPr>
        <w:t xml:space="preserve"> (ETA)</w:t>
      </w:r>
      <w:r w:rsidRPr="0038369B">
        <w:rPr>
          <w:sz w:val="23"/>
          <w:szCs w:val="23"/>
        </w:rPr>
        <w:t xml:space="preserve"> (Bill, Clause 4(4)) and </w:t>
      </w:r>
      <w:r w:rsidRPr="0038369B">
        <w:rPr>
          <w:sz w:val="23"/>
          <w:szCs w:val="23"/>
          <w:bdr w:val="none" w:sz="0" w:space="0" w:color="auto" w:frame="1"/>
        </w:rPr>
        <w:t>visa eligibility</w:t>
      </w:r>
      <w:r w:rsidRPr="0038369B">
        <w:rPr>
          <w:sz w:val="23"/>
          <w:szCs w:val="23"/>
        </w:rPr>
        <w:t xml:space="preserve"> (Regulations, Reg. 10) are also outlined. Biometric authentication (Bill, Clause 126), eGates systems, and the mandatory use of entry and departure cards (Regulations, Reg. 8, with penalties for false declarations) are all integral to this modernized approach.</w:t>
      </w:r>
    </w:p>
    <w:p w14:paraId="1E47101F" w14:textId="274225BE" w:rsidR="00353707" w:rsidRDefault="00353707" w:rsidP="0015667C">
      <w:pPr>
        <w:ind w:left="810"/>
        <w:rPr>
          <w:sz w:val="23"/>
          <w:szCs w:val="23"/>
        </w:rPr>
      </w:pPr>
    </w:p>
    <w:p w14:paraId="2FAEB182" w14:textId="77777777" w:rsidR="00353707" w:rsidRPr="0038369B" w:rsidRDefault="00353707" w:rsidP="0015667C">
      <w:pPr>
        <w:ind w:left="810"/>
        <w:rPr>
          <w:sz w:val="23"/>
          <w:szCs w:val="23"/>
        </w:rPr>
      </w:pPr>
    </w:p>
    <w:p w14:paraId="4E0B3461" w14:textId="77777777" w:rsidR="00557DB5" w:rsidRPr="0038369B" w:rsidRDefault="00557DB5" w:rsidP="0015667C">
      <w:pPr>
        <w:numPr>
          <w:ilvl w:val="0"/>
          <w:numId w:val="34"/>
        </w:numPr>
        <w:ind w:left="810"/>
        <w:rPr>
          <w:sz w:val="23"/>
          <w:szCs w:val="23"/>
        </w:rPr>
      </w:pPr>
      <w:r w:rsidRPr="0038369B">
        <w:rPr>
          <w:b/>
          <w:bCs/>
          <w:sz w:val="23"/>
          <w:szCs w:val="23"/>
          <w:bdr w:val="none" w:sz="0" w:space="0" w:color="auto" w:frame="1"/>
        </w:rPr>
        <w:t>Restructured Residency and Citizenship Pathways:</w:t>
      </w:r>
      <w:r w:rsidRPr="0038369B">
        <w:rPr>
          <w:sz w:val="23"/>
          <w:szCs w:val="23"/>
        </w:rPr>
        <w:t xml:space="preserve"> The new framework significantly amends long-term residency policies:</w:t>
      </w:r>
    </w:p>
    <w:p w14:paraId="1EE53BEA" w14:textId="77777777" w:rsidR="00557DB5" w:rsidRPr="0038369B" w:rsidRDefault="00557DB5" w:rsidP="0015667C">
      <w:pPr>
        <w:numPr>
          <w:ilvl w:val="1"/>
          <w:numId w:val="34"/>
        </w:numPr>
        <w:ind w:left="1680"/>
        <w:jc w:val="both"/>
        <w:rPr>
          <w:sz w:val="23"/>
          <w:szCs w:val="23"/>
        </w:rPr>
      </w:pPr>
      <w:r w:rsidRPr="0038369B">
        <w:rPr>
          <w:sz w:val="23"/>
          <w:szCs w:val="23"/>
          <w:bdr w:val="none" w:sz="0" w:space="0" w:color="auto" w:frame="1"/>
        </w:rPr>
        <w:t>Permanent Residence Certificate</w:t>
      </w:r>
      <w:r w:rsidRPr="0038369B">
        <w:rPr>
          <w:b/>
          <w:bCs/>
          <w:sz w:val="23"/>
          <w:szCs w:val="23"/>
          <w:bdr w:val="none" w:sz="0" w:space="0" w:color="auto" w:frame="1"/>
        </w:rPr>
        <w:t xml:space="preserve"> (PRC)</w:t>
      </w:r>
      <w:r w:rsidRPr="0038369B">
        <w:rPr>
          <w:sz w:val="23"/>
          <w:szCs w:val="23"/>
        </w:rPr>
        <w:t>: The Bill (Clause 22, 83) and Regulations (Reg. 14) now stipulate that the qualification period for a PRC based on residency will increase from ten years to </w:t>
      </w:r>
      <w:r w:rsidRPr="0038369B">
        <w:rPr>
          <w:sz w:val="23"/>
          <w:szCs w:val="23"/>
          <w:bdr w:val="none" w:sz="0" w:space="0" w:color="auto" w:frame="1"/>
        </w:rPr>
        <w:t>fifteen consecutive</w:t>
      </w:r>
      <w:r w:rsidRPr="0038369B">
        <w:rPr>
          <w:b/>
          <w:bCs/>
          <w:sz w:val="23"/>
          <w:szCs w:val="23"/>
          <w:bdr w:val="none" w:sz="0" w:space="0" w:color="auto" w:frame="1"/>
        </w:rPr>
        <w:t xml:space="preserve"> years</w:t>
      </w:r>
      <w:r w:rsidRPr="0038369B">
        <w:rPr>
          <w:sz w:val="23"/>
          <w:szCs w:val="23"/>
        </w:rPr>
        <w:t> for those holding a work permit, designated status, or residence permit. This reflects a more deliberate approach to long-term settlement.</w:t>
      </w:r>
    </w:p>
    <w:p w14:paraId="5B384F35" w14:textId="77777777" w:rsidR="00557DB5" w:rsidRDefault="00557DB5" w:rsidP="0015667C">
      <w:pPr>
        <w:numPr>
          <w:ilvl w:val="1"/>
          <w:numId w:val="34"/>
        </w:numPr>
        <w:ind w:left="1680"/>
        <w:jc w:val="both"/>
        <w:rPr>
          <w:sz w:val="23"/>
          <w:szCs w:val="23"/>
        </w:rPr>
      </w:pPr>
      <w:r w:rsidRPr="0038369B">
        <w:rPr>
          <w:sz w:val="23"/>
          <w:szCs w:val="23"/>
          <w:bdr w:val="none" w:sz="0" w:space="0" w:color="auto" w:frame="1"/>
        </w:rPr>
        <w:t>Long Term Residence Permit</w:t>
      </w:r>
      <w:r w:rsidRPr="0038369B">
        <w:rPr>
          <w:b/>
          <w:bCs/>
          <w:sz w:val="23"/>
          <w:szCs w:val="23"/>
          <w:bdr w:val="none" w:sz="0" w:space="0" w:color="auto" w:frame="1"/>
        </w:rPr>
        <w:t xml:space="preserve"> (LTRP)</w:t>
      </w:r>
      <w:r w:rsidRPr="0038369B">
        <w:rPr>
          <w:sz w:val="23"/>
          <w:szCs w:val="23"/>
        </w:rPr>
        <w:t>: The previous provisions for Permanent Residence by Investment have been </w:t>
      </w:r>
      <w:r w:rsidRPr="0038369B">
        <w:rPr>
          <w:sz w:val="23"/>
          <w:szCs w:val="23"/>
          <w:bdr w:val="none" w:sz="0" w:space="0" w:color="auto" w:frame="1"/>
        </w:rPr>
        <w:t>repealed</w:t>
      </w:r>
      <w:r w:rsidRPr="0038369B">
        <w:rPr>
          <w:sz w:val="23"/>
          <w:szCs w:val="23"/>
        </w:rPr>
        <w:t xml:space="preserve"> and, in their place, a new </w:t>
      </w:r>
      <w:r w:rsidRPr="0038369B">
        <w:rPr>
          <w:sz w:val="23"/>
          <w:szCs w:val="23"/>
          <w:bdr w:val="none" w:sz="0" w:space="0" w:color="auto" w:frame="1"/>
        </w:rPr>
        <w:t xml:space="preserve">Long Term Residence Permit </w:t>
      </w:r>
      <w:r w:rsidRPr="0038369B">
        <w:rPr>
          <w:sz w:val="23"/>
          <w:szCs w:val="23"/>
        </w:rPr>
        <w:t>is established (Regulations, Reg. 28-39). This permit is available for a period of </w:t>
      </w:r>
      <w:r w:rsidRPr="0038369B">
        <w:rPr>
          <w:sz w:val="23"/>
          <w:szCs w:val="23"/>
          <w:bdr w:val="none" w:sz="0" w:space="0" w:color="auto" w:frame="1"/>
        </w:rPr>
        <w:t>twenty-five years and is renewable</w:t>
      </w:r>
      <w:r w:rsidRPr="0038369B">
        <w:rPr>
          <w:sz w:val="23"/>
          <w:szCs w:val="23"/>
        </w:rPr>
        <w:t> (Regulations, Reg. 30). Eligibility requires substantial investment thresholds, including a minimum of </w:t>
      </w:r>
      <w:r w:rsidRPr="0038369B">
        <w:rPr>
          <w:sz w:val="23"/>
          <w:szCs w:val="23"/>
          <w:bdr w:val="none" w:sz="0" w:space="0" w:color="auto" w:frame="1"/>
        </w:rPr>
        <w:t>$1,000,000 USD</w:t>
      </w:r>
      <w:r w:rsidRPr="0038369B">
        <w:rPr>
          <w:sz w:val="23"/>
          <w:szCs w:val="23"/>
        </w:rPr>
        <w:t> in the construction of a new home or purchase/renovation of distressed property in Grand Turk, Salt Cay, South Caicos, Middle Caicos, or North Caicos, or </w:t>
      </w:r>
      <w:r w:rsidRPr="0038369B">
        <w:rPr>
          <w:sz w:val="23"/>
          <w:szCs w:val="23"/>
          <w:bdr w:val="none" w:sz="0" w:space="0" w:color="auto" w:frame="1"/>
        </w:rPr>
        <w:t>$5,000,000 USD</w:t>
      </w:r>
      <w:r w:rsidRPr="0038369B">
        <w:rPr>
          <w:sz w:val="23"/>
          <w:szCs w:val="23"/>
        </w:rPr>
        <w:t xml:space="preserve"> in other islands. Business investment options are also available at these thresholds, with requirements to generate employment. </w:t>
      </w:r>
    </w:p>
    <w:p w14:paraId="1A437DDF" w14:textId="77777777" w:rsidR="00557DB5" w:rsidRPr="0038369B" w:rsidRDefault="00557DB5" w:rsidP="0015667C">
      <w:pPr>
        <w:numPr>
          <w:ilvl w:val="1"/>
          <w:numId w:val="34"/>
        </w:numPr>
        <w:ind w:left="1680"/>
        <w:jc w:val="both"/>
        <w:rPr>
          <w:sz w:val="23"/>
          <w:szCs w:val="23"/>
        </w:rPr>
      </w:pPr>
      <w:r w:rsidRPr="0038369B">
        <w:rPr>
          <w:sz w:val="23"/>
          <w:szCs w:val="23"/>
        </w:rPr>
        <w:t>A mandatory </w:t>
      </w:r>
      <w:r w:rsidRPr="0038369B">
        <w:rPr>
          <w:sz w:val="23"/>
          <w:szCs w:val="23"/>
          <w:bdr w:val="none" w:sz="0" w:space="0" w:color="auto" w:frame="1"/>
        </w:rPr>
        <w:t>five-year retention period for such investments</w:t>
      </w:r>
      <w:r w:rsidRPr="0038369B">
        <w:rPr>
          <w:sz w:val="23"/>
          <w:szCs w:val="23"/>
        </w:rPr>
        <w:t> is imposed (Regulations, Reg. 35), with annual reporting requirements (Regulations, Reg. 38) and penalties for non-compliance.</w:t>
      </w:r>
    </w:p>
    <w:p w14:paraId="2A4090C8" w14:textId="77777777" w:rsidR="00557DB5" w:rsidRPr="0038369B" w:rsidRDefault="00557DB5" w:rsidP="0015667C">
      <w:pPr>
        <w:numPr>
          <w:ilvl w:val="1"/>
          <w:numId w:val="34"/>
        </w:numPr>
        <w:ind w:left="1680"/>
        <w:jc w:val="both"/>
        <w:rPr>
          <w:sz w:val="23"/>
          <w:szCs w:val="23"/>
        </w:rPr>
      </w:pPr>
      <w:r w:rsidRPr="0038369B">
        <w:rPr>
          <w:sz w:val="23"/>
          <w:szCs w:val="23"/>
          <w:bdr w:val="none" w:sz="0" w:space="0" w:color="auto" w:frame="1"/>
        </w:rPr>
        <w:t xml:space="preserve">NEW: Residence and Employment Rights Certificate (RERC) and Points-Based Assessment System </w:t>
      </w:r>
      <w:r w:rsidRPr="0038369B">
        <w:rPr>
          <w:b/>
          <w:bCs/>
          <w:sz w:val="23"/>
          <w:szCs w:val="23"/>
          <w:bdr w:val="none" w:sz="0" w:space="0" w:color="auto" w:frame="1"/>
        </w:rPr>
        <w:t>(PBA)</w:t>
      </w:r>
      <w:r w:rsidRPr="0038369B">
        <w:rPr>
          <w:sz w:val="23"/>
          <w:szCs w:val="23"/>
        </w:rPr>
        <w:t>: A significant new addition is the Immigration (Residence and Employment Rights Certificate) (Points System) Regulations 202</w:t>
      </w:r>
      <w:r>
        <w:rPr>
          <w:sz w:val="23"/>
          <w:szCs w:val="23"/>
        </w:rPr>
        <w:t>6</w:t>
      </w:r>
      <w:r w:rsidRPr="0038369B">
        <w:rPr>
          <w:sz w:val="23"/>
          <w:szCs w:val="23"/>
        </w:rPr>
        <w:t>, which introduces a </w:t>
      </w:r>
      <w:r w:rsidRPr="0038369B">
        <w:rPr>
          <w:sz w:val="23"/>
          <w:szCs w:val="23"/>
          <w:bdr w:val="none" w:sz="0" w:space="0" w:color="auto" w:frame="1"/>
        </w:rPr>
        <w:t>Points Based Assessment (PBA)</w:t>
      </w:r>
      <w:r w:rsidRPr="0038369B">
        <w:rPr>
          <w:b/>
          <w:bCs/>
          <w:sz w:val="23"/>
          <w:szCs w:val="23"/>
          <w:bdr w:val="none" w:sz="0" w:space="0" w:color="auto" w:frame="1"/>
        </w:rPr>
        <w:t xml:space="preserve"> </w:t>
      </w:r>
      <w:r w:rsidRPr="0038369B">
        <w:rPr>
          <w:sz w:val="23"/>
          <w:szCs w:val="23"/>
          <w:bdr w:val="none" w:sz="0" w:space="0" w:color="auto" w:frame="1"/>
        </w:rPr>
        <w:t>System</w:t>
      </w:r>
      <w:r w:rsidRPr="0038369B">
        <w:rPr>
          <w:sz w:val="23"/>
          <w:szCs w:val="23"/>
        </w:rPr>
        <w:t>. This system is intended to be an </w:t>
      </w:r>
      <w:r w:rsidRPr="0038369B">
        <w:rPr>
          <w:sz w:val="23"/>
          <w:szCs w:val="23"/>
          <w:bdr w:val="none" w:sz="0" w:space="0" w:color="auto" w:frame="1"/>
        </w:rPr>
        <w:t>additional criterion</w:t>
      </w:r>
      <w:r w:rsidRPr="0038369B">
        <w:rPr>
          <w:sz w:val="23"/>
          <w:szCs w:val="23"/>
        </w:rPr>
        <w:t> (PBA Regulations, Reg. 3(2)) to assess applications for a Residence and Employment Rights Certificate, ultimately serving as a pathway for eligible individuals to be recommended for </w:t>
      </w:r>
      <w:r w:rsidRPr="0038369B">
        <w:rPr>
          <w:sz w:val="23"/>
          <w:szCs w:val="23"/>
          <w:bdr w:val="none" w:sz="0" w:space="0" w:color="auto" w:frame="1"/>
        </w:rPr>
        <w:t>Islander Status</w:t>
      </w:r>
      <w:r w:rsidRPr="0038369B">
        <w:rPr>
          <w:sz w:val="23"/>
          <w:szCs w:val="23"/>
        </w:rPr>
        <w:t> (PBA Regulations, Reg. 3(3)) up to a specified annual </w:t>
      </w:r>
      <w:r w:rsidRPr="0038369B">
        <w:rPr>
          <w:sz w:val="23"/>
          <w:szCs w:val="23"/>
          <w:bdr w:val="none" w:sz="0" w:space="0" w:color="auto" w:frame="1"/>
        </w:rPr>
        <w:t>Quota</w:t>
      </w:r>
      <w:r w:rsidRPr="0038369B">
        <w:rPr>
          <w:sz w:val="23"/>
          <w:szCs w:val="23"/>
        </w:rPr>
        <w:t> (PBA Regulations, Reg. 4). Applicants must achieve a minimum of </w:t>
      </w:r>
      <w:r w:rsidRPr="0038369B">
        <w:rPr>
          <w:sz w:val="23"/>
          <w:szCs w:val="23"/>
          <w:bdr w:val="none" w:sz="0" w:space="0" w:color="auto" w:frame="1"/>
        </w:rPr>
        <w:t>130 points out of a maximum of 185</w:t>
      </w:r>
      <w:r w:rsidRPr="0038369B">
        <w:rPr>
          <w:sz w:val="23"/>
          <w:szCs w:val="23"/>
        </w:rPr>
        <w:t xml:space="preserve"> to be </w:t>
      </w:r>
      <w:bookmarkStart w:id="0" w:name="_GoBack"/>
      <w:bookmarkEnd w:id="0"/>
      <w:r w:rsidRPr="0038369B">
        <w:rPr>
          <w:sz w:val="23"/>
          <w:szCs w:val="23"/>
        </w:rPr>
        <w:t>considered (PBA Regulations, Sch. 1). Assessment factors include:</w:t>
      </w:r>
    </w:p>
    <w:p w14:paraId="09FF080D"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t>Age</w:t>
      </w:r>
      <w:r w:rsidRPr="0038369B">
        <w:rPr>
          <w:sz w:val="23"/>
          <w:szCs w:val="23"/>
        </w:rPr>
        <w:t> (Max 30 points, prioritizing 25-40 years)</w:t>
      </w:r>
    </w:p>
    <w:p w14:paraId="17E48177"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t>Educational Qualifications</w:t>
      </w:r>
      <w:r w:rsidRPr="0038369B">
        <w:rPr>
          <w:sz w:val="23"/>
          <w:szCs w:val="23"/>
        </w:rPr>
        <w:t> (Max 25 points)</w:t>
      </w:r>
    </w:p>
    <w:p w14:paraId="34476230"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t>Turks and Caicos Islands Qualifications</w:t>
      </w:r>
      <w:r w:rsidRPr="0038369B">
        <w:rPr>
          <w:sz w:val="23"/>
          <w:szCs w:val="23"/>
        </w:rPr>
        <w:t> (Max 5 points)</w:t>
      </w:r>
    </w:p>
    <w:p w14:paraId="318E8881"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t>Spouse Skills</w:t>
      </w:r>
      <w:r w:rsidRPr="0038369B">
        <w:rPr>
          <w:sz w:val="23"/>
          <w:szCs w:val="23"/>
        </w:rPr>
        <w:t> (Max 5 points)</w:t>
      </w:r>
    </w:p>
    <w:p w14:paraId="44179820"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t>English Language Ability</w:t>
      </w:r>
      <w:r w:rsidRPr="0038369B">
        <w:rPr>
          <w:sz w:val="23"/>
          <w:szCs w:val="23"/>
        </w:rPr>
        <w:t> (Max 10 points)</w:t>
      </w:r>
    </w:p>
    <w:p w14:paraId="5833E69B"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t>Years of Residence in the Turks and Caicos Islands</w:t>
      </w:r>
      <w:r w:rsidRPr="0038369B">
        <w:rPr>
          <w:sz w:val="23"/>
          <w:szCs w:val="23"/>
        </w:rPr>
        <w:t> (Max 25 points, highest for 25+ years)</w:t>
      </w:r>
    </w:p>
    <w:p w14:paraId="5A22A020"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t>Skilled Employment (TCI and Overseas)</w:t>
      </w:r>
      <w:r w:rsidRPr="0038369B">
        <w:rPr>
          <w:sz w:val="23"/>
          <w:szCs w:val="23"/>
        </w:rPr>
        <w:t> (Max 20 points)</w:t>
      </w:r>
    </w:p>
    <w:p w14:paraId="7D65C0F7"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t>State Employee Category</w:t>
      </w:r>
      <w:r w:rsidRPr="0038369B">
        <w:rPr>
          <w:sz w:val="23"/>
          <w:szCs w:val="23"/>
        </w:rPr>
        <w:t> (Max 15 points)</w:t>
      </w:r>
    </w:p>
    <w:p w14:paraId="43A8BFA9"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t>Investment in a Home or Business</w:t>
      </w:r>
      <w:r w:rsidRPr="0038369B">
        <w:rPr>
          <w:sz w:val="23"/>
          <w:szCs w:val="23"/>
        </w:rPr>
        <w:t> (Max 10 points)</w:t>
      </w:r>
    </w:p>
    <w:p w14:paraId="3BCDA105"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t>Financial Stability (Gross Annual Income)</w:t>
      </w:r>
      <w:r w:rsidRPr="0038369B">
        <w:rPr>
          <w:sz w:val="23"/>
          <w:szCs w:val="23"/>
        </w:rPr>
        <w:t> (Max 25 points, highest for $150,000+)</w:t>
      </w:r>
    </w:p>
    <w:p w14:paraId="5AA70280"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lastRenderedPageBreak/>
        <w:t>Extraordinary Achievements</w:t>
      </w:r>
      <w:r w:rsidRPr="0038369B">
        <w:rPr>
          <w:sz w:val="23"/>
          <w:szCs w:val="23"/>
        </w:rPr>
        <w:t> (Max 10 points)</w:t>
      </w:r>
    </w:p>
    <w:p w14:paraId="5417BF7E" w14:textId="77777777" w:rsidR="00557DB5" w:rsidRPr="0038369B" w:rsidRDefault="00557DB5" w:rsidP="00557DB5">
      <w:pPr>
        <w:numPr>
          <w:ilvl w:val="2"/>
          <w:numId w:val="34"/>
        </w:numPr>
        <w:ind w:left="2400"/>
        <w:rPr>
          <w:sz w:val="23"/>
          <w:szCs w:val="23"/>
        </w:rPr>
      </w:pPr>
      <w:r w:rsidRPr="0038369B">
        <w:rPr>
          <w:sz w:val="23"/>
          <w:szCs w:val="23"/>
          <w:bdr w:val="none" w:sz="0" w:space="0" w:color="auto" w:frame="1"/>
        </w:rPr>
        <w:t>Assimilation and Service Propensity</w:t>
      </w:r>
      <w:r w:rsidRPr="0038369B">
        <w:rPr>
          <w:sz w:val="23"/>
          <w:szCs w:val="23"/>
        </w:rPr>
        <w:t> (Max 10 points)</w:t>
      </w:r>
    </w:p>
    <w:p w14:paraId="2E1A1A31" w14:textId="77777777" w:rsidR="00557DB5" w:rsidRPr="0038369B" w:rsidRDefault="00557DB5" w:rsidP="00557DB5">
      <w:pPr>
        <w:numPr>
          <w:ilvl w:val="1"/>
          <w:numId w:val="34"/>
        </w:numPr>
        <w:ind w:left="1680"/>
        <w:rPr>
          <w:sz w:val="23"/>
          <w:szCs w:val="23"/>
        </w:rPr>
      </w:pPr>
      <w:r w:rsidRPr="0038369B">
        <w:rPr>
          <w:b/>
          <w:bCs/>
          <w:sz w:val="23"/>
          <w:szCs w:val="23"/>
          <w:bdr w:val="none" w:sz="0" w:space="0" w:color="auto" w:frame="1"/>
        </w:rPr>
        <w:t>Home Owner's Permit</w:t>
      </w:r>
      <w:r w:rsidRPr="0038369B">
        <w:rPr>
          <w:sz w:val="23"/>
          <w:szCs w:val="23"/>
        </w:rPr>
        <w:t>: The Regulations (Reg. 40-44) outline an application process for a Home Owner's Permit, requiring ownership of a home valued at not less than </w:t>
      </w:r>
      <w:r w:rsidRPr="0038369B">
        <w:rPr>
          <w:sz w:val="23"/>
          <w:szCs w:val="23"/>
          <w:bdr w:val="none" w:sz="0" w:space="0" w:color="auto" w:frame="1"/>
        </w:rPr>
        <w:t>$500,000 USD</w:t>
      </w:r>
      <w:r w:rsidRPr="0038369B">
        <w:rPr>
          <w:sz w:val="23"/>
          <w:szCs w:val="23"/>
        </w:rPr>
        <w:t>, valid for five years and renewable.</w:t>
      </w:r>
    </w:p>
    <w:p w14:paraId="3A6BA656" w14:textId="77777777" w:rsidR="00557DB5" w:rsidRPr="0038369B" w:rsidRDefault="00557DB5" w:rsidP="00557DB5">
      <w:pPr>
        <w:numPr>
          <w:ilvl w:val="0"/>
          <w:numId w:val="34"/>
        </w:numPr>
        <w:ind w:left="960"/>
        <w:rPr>
          <w:sz w:val="23"/>
          <w:szCs w:val="23"/>
        </w:rPr>
      </w:pPr>
      <w:r w:rsidRPr="0038369B">
        <w:rPr>
          <w:b/>
          <w:bCs/>
          <w:sz w:val="23"/>
          <w:szCs w:val="23"/>
          <w:bdr w:val="none" w:sz="0" w:space="0" w:color="auto" w:frame="1"/>
        </w:rPr>
        <w:t>Revised Work Permit Framework:</w:t>
      </w:r>
      <w:r w:rsidRPr="0038369B">
        <w:rPr>
          <w:sz w:val="23"/>
          <w:szCs w:val="23"/>
        </w:rPr>
        <w:t xml:space="preserve"> </w:t>
      </w:r>
    </w:p>
    <w:p w14:paraId="4ED91798" w14:textId="77777777" w:rsidR="00557DB5" w:rsidRPr="0038369B" w:rsidRDefault="00557DB5" w:rsidP="0015667C">
      <w:pPr>
        <w:numPr>
          <w:ilvl w:val="1"/>
          <w:numId w:val="34"/>
        </w:numPr>
        <w:ind w:left="1680"/>
        <w:jc w:val="both"/>
        <w:rPr>
          <w:sz w:val="23"/>
          <w:szCs w:val="23"/>
        </w:rPr>
      </w:pPr>
      <w:r w:rsidRPr="0038369B">
        <w:rPr>
          <w:sz w:val="23"/>
          <w:szCs w:val="23"/>
        </w:rPr>
        <w:t>The </w:t>
      </w:r>
      <w:r w:rsidRPr="0038369B">
        <w:rPr>
          <w:sz w:val="23"/>
          <w:szCs w:val="23"/>
          <w:bdr w:val="none" w:sz="0" w:space="0" w:color="auto" w:frame="1"/>
        </w:rPr>
        <w:t>Freelancer's Work Permit is discontinued</w:t>
      </w:r>
      <w:r w:rsidRPr="002B222F">
        <w:rPr>
          <w:sz w:val="23"/>
          <w:szCs w:val="23"/>
        </w:rPr>
        <w:t>.</w:t>
      </w:r>
    </w:p>
    <w:p w14:paraId="796B00B3" w14:textId="77777777" w:rsidR="00557DB5" w:rsidRPr="0038369B" w:rsidRDefault="00557DB5" w:rsidP="0015667C">
      <w:pPr>
        <w:numPr>
          <w:ilvl w:val="1"/>
          <w:numId w:val="34"/>
        </w:numPr>
        <w:ind w:left="1680"/>
        <w:jc w:val="both"/>
        <w:rPr>
          <w:sz w:val="23"/>
          <w:szCs w:val="23"/>
        </w:rPr>
      </w:pPr>
      <w:r w:rsidRPr="0038369B">
        <w:rPr>
          <w:sz w:val="23"/>
          <w:szCs w:val="23"/>
          <w:bdr w:val="none" w:sz="0" w:space="0" w:color="auto" w:frame="1"/>
        </w:rPr>
        <w:t>Temporary Work Permits</w:t>
      </w:r>
      <w:r w:rsidRPr="0038369B">
        <w:rPr>
          <w:sz w:val="23"/>
          <w:szCs w:val="23"/>
        </w:rPr>
        <w:t> are detailed (Bill, Clause 43-45; Regulations, Reg. 66-68), including Emergency (up to 10 days) and Regular (more than 10 days but not exceeding 6 months) types. Regular Temporary Work Permits are </w:t>
      </w:r>
      <w:r w:rsidRPr="0038369B">
        <w:rPr>
          <w:sz w:val="23"/>
          <w:szCs w:val="23"/>
          <w:bdr w:val="none" w:sz="0" w:space="0" w:color="auto" w:frame="1"/>
        </w:rPr>
        <w:t>not renewable</w:t>
      </w:r>
      <w:r w:rsidRPr="0038369B">
        <w:rPr>
          <w:sz w:val="23"/>
          <w:szCs w:val="23"/>
        </w:rPr>
        <w:t> after six months, after which holders become eligible to apply for a full-term work permit.</w:t>
      </w:r>
    </w:p>
    <w:p w14:paraId="1906D51B" w14:textId="77777777" w:rsidR="00557DB5" w:rsidRPr="0038369B" w:rsidRDefault="00557DB5" w:rsidP="0015667C">
      <w:pPr>
        <w:numPr>
          <w:ilvl w:val="1"/>
          <w:numId w:val="34"/>
        </w:numPr>
        <w:ind w:left="1680"/>
        <w:jc w:val="both"/>
        <w:rPr>
          <w:sz w:val="23"/>
          <w:szCs w:val="23"/>
        </w:rPr>
      </w:pPr>
      <w:r w:rsidRPr="003849E3">
        <w:rPr>
          <w:b/>
          <w:bCs/>
          <w:sz w:val="23"/>
          <w:szCs w:val="23"/>
        </w:rPr>
        <w:t>Work Permits</w:t>
      </w:r>
      <w:r>
        <w:rPr>
          <w:sz w:val="23"/>
          <w:szCs w:val="23"/>
        </w:rPr>
        <w:t xml:space="preserve">: - </w:t>
      </w:r>
      <w:r w:rsidRPr="0038369B">
        <w:rPr>
          <w:sz w:val="23"/>
          <w:szCs w:val="23"/>
        </w:rPr>
        <w:t>A new provision mandates a </w:t>
      </w:r>
      <w:r w:rsidRPr="0038369B">
        <w:rPr>
          <w:sz w:val="23"/>
          <w:szCs w:val="23"/>
          <w:bdr w:val="none" w:sz="0" w:space="0" w:color="auto" w:frame="1"/>
        </w:rPr>
        <w:t>3-month mandatory break from the Islands</w:t>
      </w:r>
      <w:r w:rsidRPr="0038369B">
        <w:rPr>
          <w:sz w:val="23"/>
          <w:szCs w:val="23"/>
        </w:rPr>
        <w:t> (Regulations, Reg. 59) after a maximum period of work permit renewal (five years for skilled, three years for unskilled), with specific exemptions for critical sectors like medical professionals, teachers, farmers, caregivers, utility workers, aviation, marine, and law enforcement.</w:t>
      </w:r>
    </w:p>
    <w:p w14:paraId="362A2CE0" w14:textId="77777777" w:rsidR="00557DB5" w:rsidRPr="0038369B" w:rsidRDefault="00557DB5" w:rsidP="0015667C">
      <w:pPr>
        <w:numPr>
          <w:ilvl w:val="1"/>
          <w:numId w:val="34"/>
        </w:numPr>
        <w:ind w:left="1680"/>
        <w:jc w:val="both"/>
        <w:rPr>
          <w:sz w:val="23"/>
          <w:szCs w:val="23"/>
        </w:rPr>
      </w:pPr>
      <w:r w:rsidRPr="0038369B">
        <w:rPr>
          <w:sz w:val="23"/>
          <w:szCs w:val="23"/>
        </w:rPr>
        <w:t>Comprehensive </w:t>
      </w:r>
      <w:r w:rsidRPr="0038369B">
        <w:rPr>
          <w:b/>
          <w:bCs/>
          <w:sz w:val="23"/>
          <w:szCs w:val="23"/>
          <w:bdr w:val="none" w:sz="0" w:space="0" w:color="auto" w:frame="1"/>
        </w:rPr>
        <w:t>Labour Clearance</w:t>
      </w:r>
      <w:r w:rsidRPr="0038369B">
        <w:rPr>
          <w:sz w:val="23"/>
          <w:szCs w:val="23"/>
        </w:rPr>
        <w:t> requirements are detailed (Regulations, Reg. 61), including advertising and Islander preference criteria.</w:t>
      </w:r>
    </w:p>
    <w:p w14:paraId="0B084C78" w14:textId="77777777" w:rsidR="00557DB5" w:rsidRPr="0038369B" w:rsidRDefault="00557DB5" w:rsidP="00557DB5">
      <w:pPr>
        <w:numPr>
          <w:ilvl w:val="0"/>
          <w:numId w:val="34"/>
        </w:numPr>
        <w:ind w:left="960"/>
        <w:rPr>
          <w:sz w:val="23"/>
          <w:szCs w:val="23"/>
        </w:rPr>
      </w:pPr>
      <w:r w:rsidRPr="0038369B">
        <w:rPr>
          <w:b/>
          <w:bCs/>
          <w:sz w:val="23"/>
          <w:szCs w:val="23"/>
          <w:bdr w:val="none" w:sz="0" w:space="0" w:color="auto" w:frame="1"/>
        </w:rPr>
        <w:t>New and Revised Visa Categories and Requirements:</w:t>
      </w:r>
      <w:r w:rsidRPr="0038369B">
        <w:rPr>
          <w:sz w:val="23"/>
          <w:szCs w:val="23"/>
        </w:rPr>
        <w:t xml:space="preserve"> The Bill (Clause 47) and Regulations (Reg. 69-81) introduce or clarify several visa categories:</w:t>
      </w:r>
    </w:p>
    <w:p w14:paraId="586A48D2" w14:textId="77777777" w:rsidR="00557DB5" w:rsidRPr="0038369B" w:rsidRDefault="00557DB5" w:rsidP="00557DB5">
      <w:pPr>
        <w:numPr>
          <w:ilvl w:val="1"/>
          <w:numId w:val="34"/>
        </w:numPr>
        <w:ind w:left="1680"/>
        <w:rPr>
          <w:sz w:val="23"/>
          <w:szCs w:val="23"/>
        </w:rPr>
      </w:pPr>
      <w:r w:rsidRPr="0038369B">
        <w:rPr>
          <w:b/>
          <w:bCs/>
          <w:sz w:val="23"/>
          <w:szCs w:val="23"/>
          <w:bdr w:val="none" w:sz="0" w:space="0" w:color="auto" w:frame="1"/>
        </w:rPr>
        <w:t>Business Visitor's Visa (B1/B2)</w:t>
      </w:r>
      <w:r w:rsidRPr="0038369B">
        <w:rPr>
          <w:sz w:val="23"/>
          <w:szCs w:val="23"/>
        </w:rPr>
        <w:t>: B1 for single entry up to 14 days; B2 for multiple entries up to one year, allowing 14 days per visit. B1 may be made on arrival (Bill, Clause 48).</w:t>
      </w:r>
    </w:p>
    <w:p w14:paraId="00788718" w14:textId="77777777" w:rsidR="00557DB5" w:rsidRPr="0038369B" w:rsidRDefault="00557DB5" w:rsidP="00557DB5">
      <w:pPr>
        <w:numPr>
          <w:ilvl w:val="1"/>
          <w:numId w:val="34"/>
        </w:numPr>
        <w:ind w:left="1680"/>
        <w:rPr>
          <w:sz w:val="23"/>
          <w:szCs w:val="23"/>
        </w:rPr>
      </w:pPr>
      <w:r w:rsidRPr="0038369B">
        <w:rPr>
          <w:b/>
          <w:bCs/>
          <w:sz w:val="23"/>
          <w:szCs w:val="23"/>
          <w:bdr w:val="none" w:sz="0" w:space="0" w:color="auto" w:frame="1"/>
        </w:rPr>
        <w:t>Single Visit Visa (C1)</w:t>
      </w:r>
      <w:r w:rsidRPr="0038369B">
        <w:rPr>
          <w:sz w:val="23"/>
          <w:szCs w:val="23"/>
        </w:rPr>
        <w:t> and </w:t>
      </w:r>
      <w:r w:rsidRPr="0038369B">
        <w:rPr>
          <w:b/>
          <w:bCs/>
          <w:sz w:val="23"/>
          <w:szCs w:val="23"/>
          <w:bdr w:val="none" w:sz="0" w:space="0" w:color="auto" w:frame="1"/>
        </w:rPr>
        <w:t>Multiple Visit Visa (C2)</w:t>
      </w:r>
    </w:p>
    <w:p w14:paraId="2AE35F4A" w14:textId="77777777" w:rsidR="00557DB5" w:rsidRPr="0038369B" w:rsidRDefault="00557DB5" w:rsidP="00557DB5">
      <w:pPr>
        <w:numPr>
          <w:ilvl w:val="1"/>
          <w:numId w:val="34"/>
        </w:numPr>
        <w:ind w:left="1680"/>
        <w:rPr>
          <w:sz w:val="23"/>
          <w:szCs w:val="23"/>
        </w:rPr>
      </w:pPr>
      <w:r w:rsidRPr="0038369B">
        <w:rPr>
          <w:b/>
          <w:bCs/>
          <w:sz w:val="23"/>
          <w:szCs w:val="23"/>
          <w:bdr w:val="none" w:sz="0" w:space="0" w:color="auto" w:frame="1"/>
        </w:rPr>
        <w:t>Student Visa (D1)</w:t>
      </w:r>
    </w:p>
    <w:p w14:paraId="6FCB5CDE" w14:textId="77777777" w:rsidR="00557DB5" w:rsidRPr="0038369B" w:rsidRDefault="00557DB5" w:rsidP="00557DB5">
      <w:pPr>
        <w:numPr>
          <w:ilvl w:val="1"/>
          <w:numId w:val="34"/>
        </w:numPr>
        <w:ind w:left="1680"/>
        <w:rPr>
          <w:sz w:val="23"/>
          <w:szCs w:val="23"/>
        </w:rPr>
      </w:pPr>
      <w:r w:rsidRPr="0038369B">
        <w:rPr>
          <w:b/>
          <w:bCs/>
          <w:sz w:val="23"/>
          <w:szCs w:val="23"/>
          <w:bdr w:val="none" w:sz="0" w:space="0" w:color="auto" w:frame="1"/>
        </w:rPr>
        <w:t>Seaman's Visa (E1)</w:t>
      </w:r>
    </w:p>
    <w:p w14:paraId="67B6A4D3" w14:textId="77777777" w:rsidR="00557DB5" w:rsidRPr="0038369B" w:rsidRDefault="00557DB5" w:rsidP="00557DB5">
      <w:pPr>
        <w:numPr>
          <w:ilvl w:val="1"/>
          <w:numId w:val="34"/>
        </w:numPr>
        <w:ind w:left="1680"/>
        <w:rPr>
          <w:sz w:val="23"/>
          <w:szCs w:val="23"/>
        </w:rPr>
      </w:pPr>
      <w:r w:rsidRPr="0038369B">
        <w:rPr>
          <w:b/>
          <w:bCs/>
          <w:sz w:val="23"/>
          <w:szCs w:val="23"/>
          <w:bdr w:val="none" w:sz="0" w:space="0" w:color="auto" w:frame="1"/>
        </w:rPr>
        <w:t>Special Visa (S1)</w:t>
      </w:r>
    </w:p>
    <w:p w14:paraId="64DE11BC" w14:textId="77777777" w:rsidR="00557DB5" w:rsidRPr="0038369B" w:rsidRDefault="00557DB5" w:rsidP="00557DB5">
      <w:pPr>
        <w:numPr>
          <w:ilvl w:val="1"/>
          <w:numId w:val="34"/>
        </w:numPr>
        <w:ind w:left="1680"/>
        <w:rPr>
          <w:sz w:val="23"/>
          <w:szCs w:val="23"/>
        </w:rPr>
      </w:pPr>
      <w:r w:rsidRPr="0038369B">
        <w:rPr>
          <w:sz w:val="23"/>
          <w:szCs w:val="23"/>
        </w:rPr>
        <w:t>A critical new requirement is the </w:t>
      </w:r>
      <w:r w:rsidRPr="0038369B">
        <w:rPr>
          <w:b/>
          <w:bCs/>
          <w:sz w:val="23"/>
          <w:szCs w:val="23"/>
          <w:bdr w:val="none" w:sz="0" w:space="0" w:color="auto" w:frame="1"/>
        </w:rPr>
        <w:t>Visa Bond</w:t>
      </w:r>
      <w:r w:rsidRPr="0038369B">
        <w:rPr>
          <w:sz w:val="23"/>
          <w:szCs w:val="23"/>
        </w:rPr>
        <w:t> (Regulations, Reg. 81), which may be required upon visa issuance, including a cash bond, for the duration of a person's stay, to enforce departure.</w:t>
      </w:r>
    </w:p>
    <w:p w14:paraId="365B4665" w14:textId="77777777" w:rsidR="00557DB5" w:rsidRDefault="00557DB5" w:rsidP="0015667C">
      <w:pPr>
        <w:numPr>
          <w:ilvl w:val="0"/>
          <w:numId w:val="34"/>
        </w:numPr>
        <w:ind w:left="960"/>
        <w:jc w:val="both"/>
        <w:rPr>
          <w:sz w:val="23"/>
          <w:szCs w:val="23"/>
        </w:rPr>
      </w:pPr>
      <w:r w:rsidRPr="0038369B">
        <w:rPr>
          <w:b/>
          <w:bCs/>
          <w:sz w:val="23"/>
          <w:szCs w:val="23"/>
          <w:bdr w:val="none" w:sz="0" w:space="0" w:color="auto" w:frame="1"/>
        </w:rPr>
        <w:t>Enhanced Enforcement and Regulatory Compliance:</w:t>
      </w:r>
      <w:r w:rsidRPr="0038369B">
        <w:rPr>
          <w:sz w:val="23"/>
          <w:szCs w:val="23"/>
        </w:rPr>
        <w:t xml:space="preserve"> To bolster compliance, the Regulations introduce a comprehensive list of </w:t>
      </w:r>
      <w:r w:rsidRPr="0038369B">
        <w:rPr>
          <w:sz w:val="23"/>
          <w:szCs w:val="23"/>
          <w:bdr w:val="none" w:sz="0" w:space="0" w:color="auto" w:frame="1"/>
        </w:rPr>
        <w:t>Ticketable Offences</w:t>
      </w:r>
      <w:r w:rsidRPr="0038369B">
        <w:rPr>
          <w:sz w:val="23"/>
          <w:szCs w:val="23"/>
        </w:rPr>
        <w:t xml:space="preserve"> with fixed penalties (Regulations, Reg. 82 and Schedule 4), complementing the broader criminal offenses outlined in the Bill (Part IX). </w:t>
      </w:r>
    </w:p>
    <w:p w14:paraId="66A85626" w14:textId="77777777" w:rsidR="00557DB5" w:rsidRDefault="00557DB5" w:rsidP="0015667C">
      <w:pPr>
        <w:ind w:left="960"/>
        <w:jc w:val="both"/>
        <w:rPr>
          <w:sz w:val="23"/>
          <w:szCs w:val="23"/>
        </w:rPr>
      </w:pPr>
    </w:p>
    <w:p w14:paraId="62FDD841" w14:textId="77777777" w:rsidR="00557DB5" w:rsidRDefault="00557DB5" w:rsidP="0015667C">
      <w:pPr>
        <w:ind w:left="960"/>
        <w:jc w:val="both"/>
        <w:rPr>
          <w:sz w:val="23"/>
          <w:szCs w:val="23"/>
        </w:rPr>
      </w:pPr>
      <w:r w:rsidRPr="0038369B">
        <w:rPr>
          <w:sz w:val="23"/>
          <w:szCs w:val="23"/>
        </w:rPr>
        <w:t xml:space="preserve">These range from failure to give notice of arrival ($2,000) and failure to carry identification ($1,000) to employer/employee non-compliance with cessation of employment reporting ($5,000 and $1,000 respectively). </w:t>
      </w:r>
    </w:p>
    <w:p w14:paraId="3F5E1765" w14:textId="77777777" w:rsidR="00557DB5" w:rsidRDefault="00557DB5" w:rsidP="0015667C">
      <w:pPr>
        <w:ind w:left="960"/>
        <w:jc w:val="both"/>
        <w:rPr>
          <w:sz w:val="23"/>
          <w:szCs w:val="23"/>
        </w:rPr>
      </w:pPr>
    </w:p>
    <w:p w14:paraId="17B4591B" w14:textId="77777777" w:rsidR="00557DB5" w:rsidRPr="0038369B" w:rsidRDefault="00557DB5" w:rsidP="0015667C">
      <w:pPr>
        <w:ind w:left="960"/>
        <w:jc w:val="both"/>
        <w:rPr>
          <w:sz w:val="23"/>
          <w:szCs w:val="23"/>
        </w:rPr>
      </w:pPr>
      <w:r w:rsidRPr="0038369B">
        <w:rPr>
          <w:sz w:val="23"/>
          <w:szCs w:val="23"/>
        </w:rPr>
        <w:t xml:space="preserve">The Bill further establishes the </w:t>
      </w:r>
      <w:r w:rsidRPr="0038369B">
        <w:rPr>
          <w:b/>
          <w:bCs/>
          <w:sz w:val="23"/>
          <w:szCs w:val="23"/>
          <w:bdr w:val="none" w:sz="0" w:space="0" w:color="auto" w:frame="1"/>
        </w:rPr>
        <w:t>"Stop List"</w:t>
      </w:r>
      <w:r w:rsidRPr="0038369B">
        <w:rPr>
          <w:sz w:val="23"/>
          <w:szCs w:val="23"/>
        </w:rPr>
        <w:t xml:space="preserve"> (Bill, Clause 82) and clarifies </w:t>
      </w:r>
      <w:r w:rsidRPr="0038369B">
        <w:rPr>
          <w:b/>
          <w:bCs/>
          <w:sz w:val="23"/>
          <w:szCs w:val="23"/>
          <w:bdr w:val="none" w:sz="0" w:space="0" w:color="auto" w:frame="1"/>
        </w:rPr>
        <w:t>Deportation Processes</w:t>
      </w:r>
      <w:r w:rsidRPr="0038369B">
        <w:rPr>
          <w:sz w:val="23"/>
          <w:szCs w:val="23"/>
        </w:rPr>
        <w:t xml:space="preserve"> (Bill, Clause 85), along with the regulation and registration of </w:t>
      </w:r>
      <w:r w:rsidRPr="0038369B">
        <w:rPr>
          <w:b/>
          <w:bCs/>
          <w:sz w:val="23"/>
          <w:szCs w:val="23"/>
          <w:bdr w:val="none" w:sz="0" w:space="0" w:color="auto" w:frame="1"/>
        </w:rPr>
        <w:t>Immigration Agencies</w:t>
      </w:r>
      <w:r w:rsidRPr="0038369B">
        <w:rPr>
          <w:sz w:val="23"/>
          <w:szCs w:val="23"/>
        </w:rPr>
        <w:t xml:space="preserve"> (Bill, Part VIII).</w:t>
      </w:r>
    </w:p>
    <w:p w14:paraId="221CBEDE" w14:textId="77777777" w:rsidR="00353707" w:rsidRDefault="00353707" w:rsidP="00557DB5">
      <w:pPr>
        <w:rPr>
          <w:b/>
          <w:bCs/>
          <w:sz w:val="23"/>
          <w:szCs w:val="23"/>
          <w:bdr w:val="none" w:sz="0" w:space="0" w:color="auto" w:frame="1"/>
        </w:rPr>
      </w:pPr>
    </w:p>
    <w:p w14:paraId="11B9544C" w14:textId="77777777" w:rsidR="00353707" w:rsidRDefault="00353707" w:rsidP="00557DB5">
      <w:pPr>
        <w:rPr>
          <w:b/>
          <w:bCs/>
          <w:sz w:val="23"/>
          <w:szCs w:val="23"/>
          <w:bdr w:val="none" w:sz="0" w:space="0" w:color="auto" w:frame="1"/>
        </w:rPr>
      </w:pPr>
    </w:p>
    <w:p w14:paraId="7CCB2B5C" w14:textId="1E28545B" w:rsidR="00557DB5" w:rsidRPr="00C753CD" w:rsidRDefault="00557DB5" w:rsidP="00C753CD">
      <w:pPr>
        <w:pStyle w:val="ListParagraph"/>
        <w:numPr>
          <w:ilvl w:val="0"/>
          <w:numId w:val="34"/>
        </w:numPr>
        <w:tabs>
          <w:tab w:val="clear" w:pos="720"/>
          <w:tab w:val="num" w:pos="1080"/>
        </w:tabs>
        <w:ind w:left="990"/>
        <w:rPr>
          <w:sz w:val="23"/>
          <w:szCs w:val="23"/>
        </w:rPr>
      </w:pPr>
      <w:r w:rsidRPr="00C753CD">
        <w:rPr>
          <w:b/>
          <w:bCs/>
          <w:sz w:val="23"/>
          <w:szCs w:val="23"/>
          <w:bdr w:val="none" w:sz="0" w:space="0" w:color="auto" w:frame="1"/>
        </w:rPr>
        <w:t>Outlook</w:t>
      </w:r>
    </w:p>
    <w:p w14:paraId="194B5E5D" w14:textId="77777777" w:rsidR="00557DB5" w:rsidRPr="0038369B" w:rsidRDefault="00557DB5" w:rsidP="0015667C">
      <w:pPr>
        <w:spacing w:before="180"/>
        <w:ind w:left="990"/>
        <w:jc w:val="both"/>
        <w:rPr>
          <w:sz w:val="23"/>
          <w:szCs w:val="23"/>
        </w:rPr>
      </w:pPr>
      <w:r w:rsidRPr="0038369B">
        <w:rPr>
          <w:sz w:val="23"/>
          <w:szCs w:val="23"/>
        </w:rPr>
        <w:t>These significant changes, articulated through both the Bill and its Regulations, underscore the Government’s commitment to a modern, secure, and transparent immigration system for the Turks and Caicos Islands. This robust legal and operational framework is designed not only to safeguard our borders against evolving threats but also to foster a stable and predictable environment for residents, visitors, and businesses. We believe these reforms will provide clearer legal certainty, more efficient administrative processes, and stronger enforcement capabilities, ultimately contributing to the long-term prosperity and security of the Territory.</w:t>
      </w:r>
    </w:p>
    <w:p w14:paraId="7B6FC5A9" w14:textId="77777777" w:rsidR="00557DB5" w:rsidRPr="0038369B" w:rsidRDefault="00557DB5" w:rsidP="0015667C">
      <w:pPr>
        <w:spacing w:before="180"/>
        <w:ind w:left="990"/>
        <w:jc w:val="both"/>
      </w:pPr>
      <w:r w:rsidRPr="0038369B">
        <w:rPr>
          <w:sz w:val="23"/>
          <w:szCs w:val="23"/>
        </w:rPr>
        <w:t>We invite all stakeholders to thoroughly review the Immigration Bill 2025 and its accompanying Immigration Regulations 202</w:t>
      </w:r>
      <w:r>
        <w:rPr>
          <w:sz w:val="23"/>
          <w:szCs w:val="23"/>
        </w:rPr>
        <w:t>6</w:t>
      </w:r>
      <w:r w:rsidRPr="0038369B">
        <w:rPr>
          <w:sz w:val="23"/>
          <w:szCs w:val="23"/>
        </w:rPr>
        <w:t>, including the Points System Regulations. Your feedback during this consultation period is invaluable and will play a crucial role in shaping the final legislation, ensuring it effectively serves the best interests of the Turks and Caicos Islands.</w:t>
      </w:r>
    </w:p>
    <w:p w14:paraId="09FEE739" w14:textId="77777777" w:rsidR="00557DB5" w:rsidRPr="0038369B" w:rsidRDefault="00557DB5" w:rsidP="0015667C">
      <w:pPr>
        <w:pBdr>
          <w:bottom w:val="single" w:sz="6" w:space="1" w:color="auto"/>
        </w:pBdr>
        <w:jc w:val="both"/>
        <w:rPr>
          <w:rFonts w:ascii="Arial" w:hAnsi="Arial" w:cs="Arial"/>
          <w:vanish/>
          <w:sz w:val="16"/>
          <w:szCs w:val="16"/>
        </w:rPr>
      </w:pPr>
      <w:r w:rsidRPr="0038369B">
        <w:rPr>
          <w:rFonts w:ascii="Arial" w:hAnsi="Arial" w:cs="Arial"/>
          <w:vanish/>
          <w:sz w:val="16"/>
          <w:szCs w:val="16"/>
        </w:rPr>
        <w:t>Top of Form</w:t>
      </w:r>
    </w:p>
    <w:p w14:paraId="12F92EE1" w14:textId="77777777" w:rsidR="00557DB5" w:rsidRDefault="00557DB5" w:rsidP="0015667C">
      <w:pPr>
        <w:jc w:val="both"/>
      </w:pPr>
    </w:p>
    <w:p w14:paraId="1D037B59" w14:textId="7C8837EA" w:rsidR="006E2CD9" w:rsidRPr="006E2CD9" w:rsidRDefault="006E2CD9" w:rsidP="00557DB5"/>
    <w:p w14:paraId="406A6CFF" w14:textId="0631BCF5" w:rsidR="0015667C" w:rsidRDefault="0015667C" w:rsidP="0015667C">
      <w:pPr>
        <w:pStyle w:val="Heading2"/>
        <w:numPr>
          <w:ilvl w:val="0"/>
          <w:numId w:val="34"/>
        </w:numPr>
        <w:tabs>
          <w:tab w:val="clear" w:pos="720"/>
          <w:tab w:val="left" w:pos="461"/>
          <w:tab w:val="num" w:pos="990"/>
          <w:tab w:val="center" w:pos="5400"/>
        </w:tabs>
        <w:ind w:left="990" w:hanging="450"/>
        <w:jc w:val="left"/>
        <w:rPr>
          <w:sz w:val="36"/>
          <w:szCs w:val="36"/>
        </w:rPr>
      </w:pPr>
      <w:r>
        <w:t>Consultation Timeline and Feedback</w:t>
      </w:r>
    </w:p>
    <w:p w14:paraId="4DE43BFE" w14:textId="77777777" w:rsidR="0015667C" w:rsidRPr="0015667C" w:rsidRDefault="0015667C" w:rsidP="0015667C">
      <w:pPr>
        <w:pStyle w:val="NormalWeb"/>
        <w:ind w:left="990"/>
        <w:rPr>
          <w:sz w:val="23"/>
          <w:szCs w:val="23"/>
        </w:rPr>
      </w:pPr>
      <w:r w:rsidRPr="0015667C">
        <w:rPr>
          <w:sz w:val="23"/>
          <w:szCs w:val="23"/>
        </w:rPr>
        <w:t>Stakeholders are invited to review the Bill and provide feedback through the following channels:</w:t>
      </w:r>
    </w:p>
    <w:p w14:paraId="47DE5272" w14:textId="60C1746C" w:rsidR="0015667C" w:rsidRDefault="0015667C" w:rsidP="0015667C">
      <w:pPr>
        <w:pStyle w:val="NormalWeb"/>
        <w:spacing w:before="100" w:beforeAutospacing="1" w:after="100" w:afterAutospacing="1"/>
        <w:ind w:left="990"/>
        <w:contextualSpacing/>
        <w:rPr>
          <w:sz w:val="23"/>
          <w:szCs w:val="23"/>
        </w:rPr>
      </w:pPr>
      <w:r w:rsidRPr="0015667C">
        <w:rPr>
          <w:b/>
          <w:bCs/>
          <w:sz w:val="23"/>
          <w:szCs w:val="23"/>
        </w:rPr>
        <w:t>Online Portal:</w:t>
      </w:r>
      <w:r w:rsidRPr="0015667C">
        <w:rPr>
          <w:sz w:val="23"/>
          <w:szCs w:val="23"/>
        </w:rPr>
        <w:t xml:space="preserve"> [Insert URL].</w:t>
      </w:r>
    </w:p>
    <w:p w14:paraId="789C2DE5" w14:textId="259C914D" w:rsidR="004F6081" w:rsidRPr="0015667C" w:rsidRDefault="004F6081" w:rsidP="0015667C">
      <w:pPr>
        <w:pStyle w:val="NormalWeb"/>
        <w:spacing w:before="100" w:beforeAutospacing="1" w:after="100" w:afterAutospacing="1"/>
        <w:ind w:left="990"/>
        <w:contextualSpacing/>
        <w:rPr>
          <w:sz w:val="23"/>
          <w:szCs w:val="23"/>
        </w:rPr>
      </w:pPr>
      <w:r>
        <w:rPr>
          <w:b/>
          <w:bCs/>
          <w:sz w:val="23"/>
          <w:szCs w:val="23"/>
        </w:rPr>
        <w:t>QR Code:</w:t>
      </w:r>
      <w:r>
        <w:rPr>
          <w:sz w:val="23"/>
          <w:szCs w:val="23"/>
        </w:rPr>
        <w:t xml:space="preserve"> See included</w:t>
      </w:r>
    </w:p>
    <w:p w14:paraId="370DAAB8" w14:textId="695FCABF" w:rsidR="0015667C" w:rsidRPr="0015667C" w:rsidRDefault="0015667C" w:rsidP="0015667C">
      <w:pPr>
        <w:pStyle w:val="NormalWeb"/>
        <w:spacing w:before="100" w:beforeAutospacing="1" w:after="100" w:afterAutospacing="1"/>
        <w:ind w:left="990"/>
        <w:contextualSpacing/>
        <w:rPr>
          <w:sz w:val="23"/>
          <w:szCs w:val="23"/>
        </w:rPr>
      </w:pPr>
      <w:r w:rsidRPr="0015667C">
        <w:rPr>
          <w:b/>
          <w:bCs/>
          <w:sz w:val="23"/>
          <w:szCs w:val="23"/>
        </w:rPr>
        <w:t>Email:</w:t>
      </w:r>
      <w:r w:rsidR="00BF67C4">
        <w:rPr>
          <w:sz w:val="23"/>
          <w:szCs w:val="23"/>
        </w:rPr>
        <w:t xml:space="preserve"> [</w:t>
      </w:r>
      <w:r w:rsidR="00C9109F">
        <w:rPr>
          <w:sz w:val="23"/>
          <w:szCs w:val="23"/>
        </w:rPr>
        <w:t xml:space="preserve">   </w:t>
      </w:r>
      <w:r w:rsidRPr="0015667C">
        <w:rPr>
          <w:sz w:val="23"/>
          <w:szCs w:val="23"/>
        </w:rPr>
        <w:t>] with the subject line "Fe</w:t>
      </w:r>
      <w:r w:rsidR="004F6081">
        <w:rPr>
          <w:sz w:val="23"/>
          <w:szCs w:val="23"/>
        </w:rPr>
        <w:t>edback: Immigration Bill 2026</w:t>
      </w:r>
      <w:r w:rsidRPr="0015667C">
        <w:rPr>
          <w:sz w:val="23"/>
          <w:szCs w:val="23"/>
        </w:rPr>
        <w:t>.</w:t>
      </w:r>
    </w:p>
    <w:p w14:paraId="225B1D60" w14:textId="2181198A" w:rsidR="0015667C" w:rsidRPr="0015667C" w:rsidRDefault="0015667C" w:rsidP="0015667C">
      <w:pPr>
        <w:pStyle w:val="NormalWeb"/>
        <w:spacing w:before="100" w:beforeAutospacing="1" w:after="100" w:afterAutospacing="1"/>
        <w:ind w:left="990"/>
        <w:contextualSpacing/>
        <w:rPr>
          <w:sz w:val="23"/>
          <w:szCs w:val="23"/>
        </w:rPr>
      </w:pPr>
      <w:r w:rsidRPr="0015667C">
        <w:rPr>
          <w:b/>
          <w:bCs/>
          <w:sz w:val="23"/>
          <w:szCs w:val="23"/>
        </w:rPr>
        <w:t>Physical Drop-off:</w:t>
      </w:r>
      <w:r w:rsidRPr="0015667C">
        <w:rPr>
          <w:sz w:val="23"/>
          <w:szCs w:val="23"/>
        </w:rPr>
        <w:t xml:space="preserve"> Attorney General’s Chambers or the Ministry of</w:t>
      </w:r>
      <w:r w:rsidR="004F6081">
        <w:rPr>
          <w:sz w:val="23"/>
          <w:szCs w:val="23"/>
        </w:rPr>
        <w:t xml:space="preserve"> Immigration and</w:t>
      </w:r>
      <w:r w:rsidRPr="0015667C">
        <w:rPr>
          <w:sz w:val="23"/>
          <w:szCs w:val="23"/>
        </w:rPr>
        <w:t xml:space="preserve"> Border Control.</w:t>
      </w:r>
    </w:p>
    <w:p w14:paraId="1C82BF1F" w14:textId="290705E8" w:rsidR="0015667C" w:rsidRPr="0015667C" w:rsidRDefault="0015667C" w:rsidP="0015667C">
      <w:pPr>
        <w:pStyle w:val="NormalWeb"/>
        <w:spacing w:before="100" w:beforeAutospacing="1" w:after="100" w:afterAutospacing="1"/>
        <w:ind w:left="990"/>
        <w:contextualSpacing/>
        <w:rPr>
          <w:sz w:val="23"/>
          <w:szCs w:val="23"/>
        </w:rPr>
      </w:pPr>
      <w:r w:rsidRPr="0015667C">
        <w:rPr>
          <w:b/>
          <w:bCs/>
          <w:sz w:val="23"/>
          <w:szCs w:val="23"/>
        </w:rPr>
        <w:t>Deadline:</w:t>
      </w:r>
      <w:r w:rsidRPr="0015667C">
        <w:rPr>
          <w:sz w:val="23"/>
          <w:szCs w:val="23"/>
        </w:rPr>
        <w:t xml:space="preserve"> Submissions must be received by </w:t>
      </w:r>
      <w:r w:rsidR="00732E77">
        <w:rPr>
          <w:b/>
          <w:bCs/>
          <w:sz w:val="23"/>
          <w:szCs w:val="23"/>
        </w:rPr>
        <w:t>Friday, January 23</w:t>
      </w:r>
      <w:r w:rsidRPr="0015667C">
        <w:rPr>
          <w:b/>
          <w:bCs/>
          <w:sz w:val="23"/>
          <w:szCs w:val="23"/>
        </w:rPr>
        <w:t>, 2026</w:t>
      </w:r>
      <w:r w:rsidRPr="0015667C">
        <w:rPr>
          <w:sz w:val="23"/>
          <w:szCs w:val="23"/>
        </w:rPr>
        <w:t>, at 5:00 PM.</w:t>
      </w:r>
    </w:p>
    <w:p w14:paraId="299FD01D" w14:textId="77777777" w:rsidR="006E2CD9" w:rsidRPr="006E2CD9" w:rsidRDefault="006E2CD9" w:rsidP="006E2CD9">
      <w:pPr>
        <w:pStyle w:val="NoSpacing"/>
        <w:rPr>
          <w:rFonts w:ascii="Times New Roman" w:hAnsi="Times New Roman"/>
          <w:sz w:val="24"/>
          <w:szCs w:val="24"/>
        </w:rPr>
      </w:pPr>
    </w:p>
    <w:sectPr w:rsidR="006E2CD9" w:rsidRPr="006E2CD9" w:rsidSect="000344B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66061" w14:textId="77777777" w:rsidR="00926741" w:rsidRDefault="00926741" w:rsidP="008960CF">
      <w:r>
        <w:separator/>
      </w:r>
    </w:p>
  </w:endnote>
  <w:endnote w:type="continuationSeparator" w:id="0">
    <w:p w14:paraId="6D687AE0" w14:textId="77777777" w:rsidR="00926741" w:rsidRDefault="00926741" w:rsidP="0089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Gothic Blk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68CA" w14:textId="77777777" w:rsidR="00926741" w:rsidRDefault="00926741" w:rsidP="008960CF">
      <w:r>
        <w:separator/>
      </w:r>
    </w:p>
  </w:footnote>
  <w:footnote w:type="continuationSeparator" w:id="0">
    <w:p w14:paraId="54DF5A35" w14:textId="77777777" w:rsidR="00926741" w:rsidRDefault="00926741" w:rsidP="00896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2F0F4F6"/>
    <w:lvl w:ilvl="0">
      <w:numFmt w:val="bullet"/>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0"/>
      </w:rPr>
    </w:lvl>
    <w:lvl w:ilvl="1">
      <w:start w:val="1"/>
      <w:numFmt w:val="bullet"/>
      <w:suff w:val="nothing"/>
      <w:lvlText w:val="•"/>
      <w:lvlJc w:val="left"/>
      <w:pPr>
        <w:ind w:left="0" w:firstLine="540"/>
      </w:pPr>
      <w:rPr>
        <w:rFonts w:hint="default"/>
        <w:position w:val="0"/>
      </w:rPr>
    </w:lvl>
    <w:lvl w:ilvl="2">
      <w:start w:val="1"/>
      <w:numFmt w:val="bullet"/>
      <w:suff w:val="nothing"/>
      <w:lvlText w:val="•"/>
      <w:lvlJc w:val="left"/>
      <w:pPr>
        <w:ind w:left="0" w:firstLine="900"/>
      </w:pPr>
      <w:rPr>
        <w:rFonts w:hint="default"/>
        <w:position w:val="0"/>
      </w:rPr>
    </w:lvl>
    <w:lvl w:ilvl="3">
      <w:start w:val="1"/>
      <w:numFmt w:val="bullet"/>
      <w:suff w:val="nothing"/>
      <w:lvlText w:val="•"/>
      <w:lvlJc w:val="left"/>
      <w:pPr>
        <w:ind w:left="0" w:firstLine="1260"/>
      </w:pPr>
      <w:rPr>
        <w:rFonts w:hint="default"/>
        <w:position w:val="0"/>
      </w:rPr>
    </w:lvl>
    <w:lvl w:ilvl="4">
      <w:start w:val="1"/>
      <w:numFmt w:val="bullet"/>
      <w:suff w:val="nothing"/>
      <w:lvlText w:val="•"/>
      <w:lvlJc w:val="left"/>
      <w:pPr>
        <w:ind w:left="0" w:firstLine="1620"/>
      </w:pPr>
      <w:rPr>
        <w:rFonts w:hint="default"/>
        <w:position w:val="0"/>
      </w:rPr>
    </w:lvl>
    <w:lvl w:ilvl="5">
      <w:start w:val="1"/>
      <w:numFmt w:val="bullet"/>
      <w:suff w:val="nothing"/>
      <w:lvlText w:val="•"/>
      <w:lvlJc w:val="left"/>
      <w:pPr>
        <w:ind w:left="0" w:firstLine="1980"/>
      </w:pPr>
      <w:rPr>
        <w:rFonts w:hint="default"/>
        <w:position w:val="0"/>
      </w:rPr>
    </w:lvl>
    <w:lvl w:ilvl="6">
      <w:start w:val="1"/>
      <w:numFmt w:val="bullet"/>
      <w:suff w:val="nothing"/>
      <w:lvlText w:val="•"/>
      <w:lvlJc w:val="left"/>
      <w:pPr>
        <w:ind w:left="0" w:firstLine="2340"/>
      </w:pPr>
      <w:rPr>
        <w:rFonts w:hint="default"/>
        <w:position w:val="0"/>
      </w:rPr>
    </w:lvl>
    <w:lvl w:ilvl="7">
      <w:start w:val="1"/>
      <w:numFmt w:val="bullet"/>
      <w:suff w:val="nothing"/>
      <w:lvlText w:val="•"/>
      <w:lvlJc w:val="left"/>
      <w:pPr>
        <w:ind w:left="0" w:firstLine="2700"/>
      </w:pPr>
      <w:rPr>
        <w:rFonts w:hint="default"/>
        <w:position w:val="0"/>
      </w:rPr>
    </w:lvl>
    <w:lvl w:ilvl="8">
      <w:start w:val="1"/>
      <w:numFmt w:val="bullet"/>
      <w:suff w:val="nothing"/>
      <w:lvlText w:val="•"/>
      <w:lvlJc w:val="left"/>
      <w:pPr>
        <w:ind w:left="0" w:firstLine="3060"/>
      </w:pPr>
      <w:rPr>
        <w:rFonts w:hint="default"/>
        <w:position w:val="0"/>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725586"/>
    <w:multiLevelType w:val="hybridMultilevel"/>
    <w:tmpl w:val="B7061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B15A7"/>
    <w:multiLevelType w:val="multilevel"/>
    <w:tmpl w:val="D378370C"/>
    <w:lvl w:ilvl="0">
      <w:start w:val="14"/>
      <w:numFmt w:val="bullet"/>
      <w:lvlText w:val="□"/>
      <w:lvlJc w:val="left"/>
      <w:pPr>
        <w:tabs>
          <w:tab w:val="num" w:pos="360"/>
        </w:tabs>
        <w:ind w:left="360" w:hanging="360"/>
      </w:pPr>
      <w:rPr>
        <w:rFonts w:ascii="Bookman Old Style" w:eastAsia="Times New Roman" w:hAnsi="Bookman Old Styl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ED23C0"/>
    <w:multiLevelType w:val="hybridMultilevel"/>
    <w:tmpl w:val="4C76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4F6731"/>
    <w:multiLevelType w:val="hybridMultilevel"/>
    <w:tmpl w:val="3878C2E8"/>
    <w:lvl w:ilvl="0" w:tplc="51885B82">
      <w:start w:val="14"/>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12132F"/>
    <w:multiLevelType w:val="multilevel"/>
    <w:tmpl w:val="44C2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7F48FC"/>
    <w:multiLevelType w:val="hybridMultilevel"/>
    <w:tmpl w:val="6E4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21155"/>
    <w:multiLevelType w:val="hybridMultilevel"/>
    <w:tmpl w:val="251C2D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8458B3"/>
    <w:multiLevelType w:val="hybridMultilevel"/>
    <w:tmpl w:val="3E70BFAA"/>
    <w:lvl w:ilvl="0" w:tplc="51885B82">
      <w:start w:val="14"/>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553B1"/>
    <w:multiLevelType w:val="hybridMultilevel"/>
    <w:tmpl w:val="4BD0C1D8"/>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F6A2F"/>
    <w:multiLevelType w:val="hybridMultilevel"/>
    <w:tmpl w:val="BF28EDEE"/>
    <w:lvl w:ilvl="0" w:tplc="51885B82">
      <w:start w:val="14"/>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04388"/>
    <w:multiLevelType w:val="hybridMultilevel"/>
    <w:tmpl w:val="048CCE7C"/>
    <w:lvl w:ilvl="0" w:tplc="51885B82">
      <w:start w:val="14"/>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66BD2"/>
    <w:multiLevelType w:val="hybridMultilevel"/>
    <w:tmpl w:val="329E6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53FCC"/>
    <w:multiLevelType w:val="multilevel"/>
    <w:tmpl w:val="892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558F6"/>
    <w:multiLevelType w:val="hybridMultilevel"/>
    <w:tmpl w:val="16CA97A6"/>
    <w:lvl w:ilvl="0" w:tplc="51885B82">
      <w:start w:val="14"/>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3145F4"/>
    <w:multiLevelType w:val="multilevel"/>
    <w:tmpl w:val="DF2E9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DB0283"/>
    <w:multiLevelType w:val="hybridMultilevel"/>
    <w:tmpl w:val="29CCD4CC"/>
    <w:lvl w:ilvl="0" w:tplc="51885B82">
      <w:start w:val="14"/>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AC4049"/>
    <w:multiLevelType w:val="hybridMultilevel"/>
    <w:tmpl w:val="DDFCA7CE"/>
    <w:lvl w:ilvl="0" w:tplc="51885B82">
      <w:start w:val="14"/>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EF1DAB"/>
    <w:multiLevelType w:val="hybridMultilevel"/>
    <w:tmpl w:val="E5720326"/>
    <w:lvl w:ilvl="0" w:tplc="51885B82">
      <w:start w:val="14"/>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8B786A"/>
    <w:multiLevelType w:val="hybridMultilevel"/>
    <w:tmpl w:val="1AB021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1C06B5"/>
    <w:multiLevelType w:val="hybridMultilevel"/>
    <w:tmpl w:val="B7061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3561C"/>
    <w:multiLevelType w:val="multilevel"/>
    <w:tmpl w:val="1CCC230E"/>
    <w:lvl w:ilvl="0">
      <w:start w:val="1"/>
      <w:numFmt w:val="decimal"/>
      <w:lvlText w:val="%1."/>
      <w:lvlJc w:val="left"/>
      <w:pPr>
        <w:tabs>
          <w:tab w:val="num" w:pos="720"/>
        </w:tabs>
        <w:ind w:left="720" w:hanging="360"/>
      </w:pPr>
      <w:rPr>
        <w:b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B472E3"/>
    <w:multiLevelType w:val="hybridMultilevel"/>
    <w:tmpl w:val="E4CC066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3B26B7"/>
    <w:multiLevelType w:val="hybridMultilevel"/>
    <w:tmpl w:val="D378370C"/>
    <w:lvl w:ilvl="0" w:tplc="51885B82">
      <w:start w:val="14"/>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03450C"/>
    <w:multiLevelType w:val="hybridMultilevel"/>
    <w:tmpl w:val="3BCC4D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A5D68"/>
    <w:multiLevelType w:val="hybridMultilevel"/>
    <w:tmpl w:val="52F2A3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273EB"/>
    <w:multiLevelType w:val="hybridMultilevel"/>
    <w:tmpl w:val="9B966460"/>
    <w:lvl w:ilvl="0" w:tplc="0F462C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EA72CD"/>
    <w:multiLevelType w:val="multilevel"/>
    <w:tmpl w:val="1CCC230E"/>
    <w:lvl w:ilvl="0">
      <w:start w:val="1"/>
      <w:numFmt w:val="decimal"/>
      <w:lvlText w:val="%1."/>
      <w:lvlJc w:val="left"/>
      <w:pPr>
        <w:tabs>
          <w:tab w:val="num" w:pos="720"/>
        </w:tabs>
        <w:ind w:left="720" w:hanging="360"/>
      </w:pPr>
      <w:rPr>
        <w:b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59733B"/>
    <w:multiLevelType w:val="multilevel"/>
    <w:tmpl w:val="C57A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E5D12"/>
    <w:multiLevelType w:val="hybridMultilevel"/>
    <w:tmpl w:val="9ECE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B35972"/>
    <w:multiLevelType w:val="hybridMultilevel"/>
    <w:tmpl w:val="85E4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F432CE"/>
    <w:multiLevelType w:val="multilevel"/>
    <w:tmpl w:val="6BBA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DC38F9"/>
    <w:multiLevelType w:val="hybridMultilevel"/>
    <w:tmpl w:val="ACF6F978"/>
    <w:lvl w:ilvl="0" w:tplc="51885B82">
      <w:start w:val="14"/>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2F4820"/>
    <w:multiLevelType w:val="hybridMultilevel"/>
    <w:tmpl w:val="5CFA45AE"/>
    <w:lvl w:ilvl="0" w:tplc="51885B82">
      <w:start w:val="14"/>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lvlOverride w:ilvl="0">
      <w:lvl w:ilvl="0">
        <w:numFmt w:val="bullet"/>
        <w:lvlText w:val=""/>
        <w:legacy w:legacy="1" w:legacySpace="0" w:legacyIndent="0"/>
        <w:lvlJc w:val="left"/>
        <w:rPr>
          <w:rFonts w:ascii="Wingdings 3" w:hAnsi="Wingdings 3" w:hint="default"/>
          <w:sz w:val="32"/>
        </w:rPr>
      </w:lvl>
    </w:lvlOverride>
  </w:num>
  <w:num w:numId="3">
    <w:abstractNumId w:val="18"/>
  </w:num>
  <w:num w:numId="4">
    <w:abstractNumId w:val="19"/>
  </w:num>
  <w:num w:numId="5">
    <w:abstractNumId w:val="35"/>
  </w:num>
  <w:num w:numId="6">
    <w:abstractNumId w:val="27"/>
  </w:num>
  <w:num w:numId="7">
    <w:abstractNumId w:val="13"/>
  </w:num>
  <w:num w:numId="8">
    <w:abstractNumId w:val="6"/>
  </w:num>
  <w:num w:numId="9">
    <w:abstractNumId w:val="34"/>
  </w:num>
  <w:num w:numId="10">
    <w:abstractNumId w:val="12"/>
  </w:num>
  <w:num w:numId="11">
    <w:abstractNumId w:val="16"/>
  </w:num>
  <w:num w:numId="12">
    <w:abstractNumId w:val="20"/>
  </w:num>
  <w:num w:numId="13">
    <w:abstractNumId w:val="10"/>
  </w:num>
  <w:num w:numId="14">
    <w:abstractNumId w:val="25"/>
  </w:num>
  <w:num w:numId="15">
    <w:abstractNumId w:val="4"/>
  </w:num>
  <w:num w:numId="16">
    <w:abstractNumId w:val="31"/>
  </w:num>
  <w:num w:numId="17">
    <w:abstractNumId w:val="24"/>
  </w:num>
  <w:num w:numId="18">
    <w:abstractNumId w:val="9"/>
  </w:num>
  <w:num w:numId="19">
    <w:abstractNumId w:val="1"/>
  </w:num>
  <w:num w:numId="20">
    <w:abstractNumId w:val="2"/>
  </w:num>
  <w:num w:numId="21">
    <w:abstractNumId w:val="26"/>
  </w:num>
  <w:num w:numId="22">
    <w:abstractNumId w:val="8"/>
  </w:num>
  <w:num w:numId="23">
    <w:abstractNumId w:val="3"/>
  </w:num>
  <w:num w:numId="24">
    <w:abstractNumId w:val="22"/>
  </w:num>
  <w:num w:numId="25">
    <w:abstractNumId w:val="11"/>
  </w:num>
  <w:num w:numId="26">
    <w:abstractNumId w:val="32"/>
  </w:num>
  <w:num w:numId="27">
    <w:abstractNumId w:val="5"/>
  </w:num>
  <w:num w:numId="28">
    <w:abstractNumId w:val="21"/>
  </w:num>
  <w:num w:numId="29">
    <w:abstractNumId w:val="28"/>
  </w:num>
  <w:num w:numId="30">
    <w:abstractNumId w:val="7"/>
  </w:num>
  <w:num w:numId="31">
    <w:abstractNumId w:val="17"/>
  </w:num>
  <w:num w:numId="32">
    <w:abstractNumId w:val="30"/>
  </w:num>
  <w:num w:numId="33">
    <w:abstractNumId w:val="33"/>
  </w:num>
  <w:num w:numId="34">
    <w:abstractNumId w:val="23"/>
  </w:num>
  <w:num w:numId="35">
    <w:abstractNumId w:val="1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78"/>
    <w:rsid w:val="000007E3"/>
    <w:rsid w:val="000125CE"/>
    <w:rsid w:val="00021A7B"/>
    <w:rsid w:val="0002204D"/>
    <w:rsid w:val="000232BE"/>
    <w:rsid w:val="00030FB3"/>
    <w:rsid w:val="000344BA"/>
    <w:rsid w:val="000348EA"/>
    <w:rsid w:val="000424D4"/>
    <w:rsid w:val="00042748"/>
    <w:rsid w:val="00057B86"/>
    <w:rsid w:val="00066AEC"/>
    <w:rsid w:val="00070F74"/>
    <w:rsid w:val="00073E0F"/>
    <w:rsid w:val="00081ADA"/>
    <w:rsid w:val="00085291"/>
    <w:rsid w:val="00085A69"/>
    <w:rsid w:val="0009095D"/>
    <w:rsid w:val="00092475"/>
    <w:rsid w:val="00093D14"/>
    <w:rsid w:val="000A01D9"/>
    <w:rsid w:val="000A3913"/>
    <w:rsid w:val="000B01C6"/>
    <w:rsid w:val="000B0F17"/>
    <w:rsid w:val="000B3991"/>
    <w:rsid w:val="000B49BA"/>
    <w:rsid w:val="000C3D7D"/>
    <w:rsid w:val="000C55FA"/>
    <w:rsid w:val="000D6D75"/>
    <w:rsid w:val="000E4BF7"/>
    <w:rsid w:val="000E7831"/>
    <w:rsid w:val="000E7E48"/>
    <w:rsid w:val="000F264A"/>
    <w:rsid w:val="00106174"/>
    <w:rsid w:val="001107DD"/>
    <w:rsid w:val="00111EE9"/>
    <w:rsid w:val="001153BB"/>
    <w:rsid w:val="001209B9"/>
    <w:rsid w:val="00122F6E"/>
    <w:rsid w:val="001300A1"/>
    <w:rsid w:val="00130BE9"/>
    <w:rsid w:val="0015667C"/>
    <w:rsid w:val="0016552B"/>
    <w:rsid w:val="00170FB3"/>
    <w:rsid w:val="0017779D"/>
    <w:rsid w:val="00177EE1"/>
    <w:rsid w:val="001865CE"/>
    <w:rsid w:val="0019125A"/>
    <w:rsid w:val="001A568C"/>
    <w:rsid w:val="001A68E5"/>
    <w:rsid w:val="001B25CB"/>
    <w:rsid w:val="001B3F80"/>
    <w:rsid w:val="001B451D"/>
    <w:rsid w:val="001C5995"/>
    <w:rsid w:val="001E2A0E"/>
    <w:rsid w:val="001F218B"/>
    <w:rsid w:val="001F5A0B"/>
    <w:rsid w:val="001F66E7"/>
    <w:rsid w:val="001F6F43"/>
    <w:rsid w:val="002031AD"/>
    <w:rsid w:val="00210714"/>
    <w:rsid w:val="00223658"/>
    <w:rsid w:val="00225D98"/>
    <w:rsid w:val="00225F75"/>
    <w:rsid w:val="00232CDA"/>
    <w:rsid w:val="00241998"/>
    <w:rsid w:val="002471AC"/>
    <w:rsid w:val="002519AB"/>
    <w:rsid w:val="00255AE3"/>
    <w:rsid w:val="0025741F"/>
    <w:rsid w:val="00257528"/>
    <w:rsid w:val="00257BFB"/>
    <w:rsid w:val="0026413C"/>
    <w:rsid w:val="00295A09"/>
    <w:rsid w:val="00296FB0"/>
    <w:rsid w:val="002A4E2B"/>
    <w:rsid w:val="002B3890"/>
    <w:rsid w:val="002B455C"/>
    <w:rsid w:val="002B7637"/>
    <w:rsid w:val="002B7EE7"/>
    <w:rsid w:val="002C16FD"/>
    <w:rsid w:val="002D3015"/>
    <w:rsid w:val="002D3038"/>
    <w:rsid w:val="002E00BE"/>
    <w:rsid w:val="002E18D8"/>
    <w:rsid w:val="002E3D17"/>
    <w:rsid w:val="002F2E7B"/>
    <w:rsid w:val="00306F73"/>
    <w:rsid w:val="003131DE"/>
    <w:rsid w:val="00314471"/>
    <w:rsid w:val="003148D3"/>
    <w:rsid w:val="00315283"/>
    <w:rsid w:val="00320424"/>
    <w:rsid w:val="0032356D"/>
    <w:rsid w:val="00326FF1"/>
    <w:rsid w:val="00353707"/>
    <w:rsid w:val="00354821"/>
    <w:rsid w:val="00355AF0"/>
    <w:rsid w:val="00360C39"/>
    <w:rsid w:val="0036268E"/>
    <w:rsid w:val="00362817"/>
    <w:rsid w:val="003632DD"/>
    <w:rsid w:val="00372466"/>
    <w:rsid w:val="003816A9"/>
    <w:rsid w:val="0039131A"/>
    <w:rsid w:val="00393BCF"/>
    <w:rsid w:val="0039437F"/>
    <w:rsid w:val="00394B7F"/>
    <w:rsid w:val="003964C4"/>
    <w:rsid w:val="003971D6"/>
    <w:rsid w:val="003B2263"/>
    <w:rsid w:val="003B73A2"/>
    <w:rsid w:val="003D097D"/>
    <w:rsid w:val="003F1970"/>
    <w:rsid w:val="00427739"/>
    <w:rsid w:val="004356F2"/>
    <w:rsid w:val="0044156F"/>
    <w:rsid w:val="00446F4B"/>
    <w:rsid w:val="00447765"/>
    <w:rsid w:val="00450E0E"/>
    <w:rsid w:val="00451BEB"/>
    <w:rsid w:val="0045287B"/>
    <w:rsid w:val="00454D6D"/>
    <w:rsid w:val="00457F47"/>
    <w:rsid w:val="004611E4"/>
    <w:rsid w:val="00464EFC"/>
    <w:rsid w:val="00466D29"/>
    <w:rsid w:val="00467940"/>
    <w:rsid w:val="00486DA3"/>
    <w:rsid w:val="004972DD"/>
    <w:rsid w:val="004A4EBB"/>
    <w:rsid w:val="004B13B1"/>
    <w:rsid w:val="004B1724"/>
    <w:rsid w:val="004B1F53"/>
    <w:rsid w:val="004B2794"/>
    <w:rsid w:val="004B3D4C"/>
    <w:rsid w:val="004C02DE"/>
    <w:rsid w:val="004C2D09"/>
    <w:rsid w:val="004D5212"/>
    <w:rsid w:val="004D5495"/>
    <w:rsid w:val="004E3032"/>
    <w:rsid w:val="004F0D16"/>
    <w:rsid w:val="004F5024"/>
    <w:rsid w:val="004F6081"/>
    <w:rsid w:val="00510F80"/>
    <w:rsid w:val="005123F8"/>
    <w:rsid w:val="00515AFF"/>
    <w:rsid w:val="0052643A"/>
    <w:rsid w:val="00531C2F"/>
    <w:rsid w:val="00534192"/>
    <w:rsid w:val="00536A3A"/>
    <w:rsid w:val="00543117"/>
    <w:rsid w:val="00550889"/>
    <w:rsid w:val="00557413"/>
    <w:rsid w:val="00557DB5"/>
    <w:rsid w:val="00560B19"/>
    <w:rsid w:val="00561937"/>
    <w:rsid w:val="00575494"/>
    <w:rsid w:val="0058157A"/>
    <w:rsid w:val="005827FF"/>
    <w:rsid w:val="00585A94"/>
    <w:rsid w:val="005939E2"/>
    <w:rsid w:val="00594517"/>
    <w:rsid w:val="005950E0"/>
    <w:rsid w:val="005B0879"/>
    <w:rsid w:val="005B1E34"/>
    <w:rsid w:val="005B5496"/>
    <w:rsid w:val="005B5F6D"/>
    <w:rsid w:val="005B6C1A"/>
    <w:rsid w:val="005C43E3"/>
    <w:rsid w:val="005D5CC1"/>
    <w:rsid w:val="005D6F39"/>
    <w:rsid w:val="005D7290"/>
    <w:rsid w:val="005E17F0"/>
    <w:rsid w:val="005E4887"/>
    <w:rsid w:val="005F02DE"/>
    <w:rsid w:val="00610C0E"/>
    <w:rsid w:val="006144AE"/>
    <w:rsid w:val="0061797E"/>
    <w:rsid w:val="00620207"/>
    <w:rsid w:val="00631676"/>
    <w:rsid w:val="00632D63"/>
    <w:rsid w:val="0063426E"/>
    <w:rsid w:val="006359DE"/>
    <w:rsid w:val="00635FAB"/>
    <w:rsid w:val="00643693"/>
    <w:rsid w:val="00654835"/>
    <w:rsid w:val="006576FA"/>
    <w:rsid w:val="00660693"/>
    <w:rsid w:val="00663E93"/>
    <w:rsid w:val="00672D86"/>
    <w:rsid w:val="00672F69"/>
    <w:rsid w:val="00674084"/>
    <w:rsid w:val="00677A4C"/>
    <w:rsid w:val="00683F85"/>
    <w:rsid w:val="00697D1F"/>
    <w:rsid w:val="006D5381"/>
    <w:rsid w:val="006D54BB"/>
    <w:rsid w:val="006D5AC7"/>
    <w:rsid w:val="006D63E0"/>
    <w:rsid w:val="006E2CD9"/>
    <w:rsid w:val="006E2CF9"/>
    <w:rsid w:val="0070231E"/>
    <w:rsid w:val="00704753"/>
    <w:rsid w:val="00710E2E"/>
    <w:rsid w:val="00716D74"/>
    <w:rsid w:val="007222F2"/>
    <w:rsid w:val="00732E77"/>
    <w:rsid w:val="00735296"/>
    <w:rsid w:val="00736CCB"/>
    <w:rsid w:val="00736D11"/>
    <w:rsid w:val="0075035F"/>
    <w:rsid w:val="00773070"/>
    <w:rsid w:val="00773B66"/>
    <w:rsid w:val="0078683A"/>
    <w:rsid w:val="0079095A"/>
    <w:rsid w:val="007949D4"/>
    <w:rsid w:val="007A1B01"/>
    <w:rsid w:val="007A71AA"/>
    <w:rsid w:val="007A7252"/>
    <w:rsid w:val="007B6D79"/>
    <w:rsid w:val="007C79EA"/>
    <w:rsid w:val="007D53B8"/>
    <w:rsid w:val="007F2234"/>
    <w:rsid w:val="007F4581"/>
    <w:rsid w:val="007F6C17"/>
    <w:rsid w:val="007F7DBD"/>
    <w:rsid w:val="008040E6"/>
    <w:rsid w:val="008164DC"/>
    <w:rsid w:val="0082376E"/>
    <w:rsid w:val="0083484A"/>
    <w:rsid w:val="00836D8C"/>
    <w:rsid w:val="00851E93"/>
    <w:rsid w:val="008614DC"/>
    <w:rsid w:val="00874F8C"/>
    <w:rsid w:val="008764B8"/>
    <w:rsid w:val="008844CB"/>
    <w:rsid w:val="00895BE9"/>
    <w:rsid w:val="008960CF"/>
    <w:rsid w:val="008A13F8"/>
    <w:rsid w:val="008A1605"/>
    <w:rsid w:val="008A355C"/>
    <w:rsid w:val="008B3A18"/>
    <w:rsid w:val="008B5940"/>
    <w:rsid w:val="008D1CA1"/>
    <w:rsid w:val="008D1DBD"/>
    <w:rsid w:val="008D6829"/>
    <w:rsid w:val="008E6059"/>
    <w:rsid w:val="008F11BA"/>
    <w:rsid w:val="008F2CB0"/>
    <w:rsid w:val="008F4084"/>
    <w:rsid w:val="00904794"/>
    <w:rsid w:val="00911349"/>
    <w:rsid w:val="00912AB7"/>
    <w:rsid w:val="00925C77"/>
    <w:rsid w:val="00926741"/>
    <w:rsid w:val="0092761C"/>
    <w:rsid w:val="00932F48"/>
    <w:rsid w:val="00935A26"/>
    <w:rsid w:val="00952F09"/>
    <w:rsid w:val="009542FF"/>
    <w:rsid w:val="00954B3F"/>
    <w:rsid w:val="00970F9F"/>
    <w:rsid w:val="0097336C"/>
    <w:rsid w:val="00981876"/>
    <w:rsid w:val="00985F22"/>
    <w:rsid w:val="00990D29"/>
    <w:rsid w:val="009A1DCD"/>
    <w:rsid w:val="009A5A0C"/>
    <w:rsid w:val="009B158B"/>
    <w:rsid w:val="009B1B95"/>
    <w:rsid w:val="009B3B1C"/>
    <w:rsid w:val="009B3F68"/>
    <w:rsid w:val="009B7571"/>
    <w:rsid w:val="009C3453"/>
    <w:rsid w:val="009C3D9A"/>
    <w:rsid w:val="009C6840"/>
    <w:rsid w:val="009C7E7E"/>
    <w:rsid w:val="009D7087"/>
    <w:rsid w:val="009E612A"/>
    <w:rsid w:val="009F427E"/>
    <w:rsid w:val="009F5A7E"/>
    <w:rsid w:val="00A05396"/>
    <w:rsid w:val="00A06255"/>
    <w:rsid w:val="00A1010C"/>
    <w:rsid w:val="00A245A2"/>
    <w:rsid w:val="00A31F23"/>
    <w:rsid w:val="00A36ABE"/>
    <w:rsid w:val="00A40424"/>
    <w:rsid w:val="00A43187"/>
    <w:rsid w:val="00A440A1"/>
    <w:rsid w:val="00A47FCF"/>
    <w:rsid w:val="00A508F4"/>
    <w:rsid w:val="00A617D4"/>
    <w:rsid w:val="00A61940"/>
    <w:rsid w:val="00A642B4"/>
    <w:rsid w:val="00A739A6"/>
    <w:rsid w:val="00A83103"/>
    <w:rsid w:val="00A86042"/>
    <w:rsid w:val="00AA7216"/>
    <w:rsid w:val="00AB3A08"/>
    <w:rsid w:val="00AC4CB8"/>
    <w:rsid w:val="00AC6E82"/>
    <w:rsid w:val="00AC797D"/>
    <w:rsid w:val="00AC7CF9"/>
    <w:rsid w:val="00AD592A"/>
    <w:rsid w:val="00AE1A86"/>
    <w:rsid w:val="00AF220A"/>
    <w:rsid w:val="00AF7B69"/>
    <w:rsid w:val="00B008E5"/>
    <w:rsid w:val="00B10C10"/>
    <w:rsid w:val="00B15081"/>
    <w:rsid w:val="00B15522"/>
    <w:rsid w:val="00B160E8"/>
    <w:rsid w:val="00B21E95"/>
    <w:rsid w:val="00B35F52"/>
    <w:rsid w:val="00B4114D"/>
    <w:rsid w:val="00B42DE4"/>
    <w:rsid w:val="00B436BF"/>
    <w:rsid w:val="00B44D03"/>
    <w:rsid w:val="00B53D4A"/>
    <w:rsid w:val="00B56BCD"/>
    <w:rsid w:val="00B652A0"/>
    <w:rsid w:val="00B67750"/>
    <w:rsid w:val="00B74785"/>
    <w:rsid w:val="00B76621"/>
    <w:rsid w:val="00B9158D"/>
    <w:rsid w:val="00B95BEE"/>
    <w:rsid w:val="00B978FD"/>
    <w:rsid w:val="00BA0143"/>
    <w:rsid w:val="00BA3DF1"/>
    <w:rsid w:val="00BA439C"/>
    <w:rsid w:val="00BB2F69"/>
    <w:rsid w:val="00BB6143"/>
    <w:rsid w:val="00BC56BB"/>
    <w:rsid w:val="00BD2993"/>
    <w:rsid w:val="00BD3A2F"/>
    <w:rsid w:val="00BD6E4F"/>
    <w:rsid w:val="00BF3143"/>
    <w:rsid w:val="00BF3CF9"/>
    <w:rsid w:val="00BF4EB4"/>
    <w:rsid w:val="00BF5946"/>
    <w:rsid w:val="00BF67C4"/>
    <w:rsid w:val="00C16523"/>
    <w:rsid w:val="00C16BE4"/>
    <w:rsid w:val="00C17E20"/>
    <w:rsid w:val="00C17EDB"/>
    <w:rsid w:val="00C3257F"/>
    <w:rsid w:val="00C539A8"/>
    <w:rsid w:val="00C5402A"/>
    <w:rsid w:val="00C63C35"/>
    <w:rsid w:val="00C6727E"/>
    <w:rsid w:val="00C675FD"/>
    <w:rsid w:val="00C70177"/>
    <w:rsid w:val="00C753CD"/>
    <w:rsid w:val="00C76F73"/>
    <w:rsid w:val="00C82833"/>
    <w:rsid w:val="00C9109F"/>
    <w:rsid w:val="00C97788"/>
    <w:rsid w:val="00CA00C5"/>
    <w:rsid w:val="00CA16AD"/>
    <w:rsid w:val="00CA6492"/>
    <w:rsid w:val="00CC0254"/>
    <w:rsid w:val="00CD261A"/>
    <w:rsid w:val="00CD6CDE"/>
    <w:rsid w:val="00CD7AD6"/>
    <w:rsid w:val="00CE0DA6"/>
    <w:rsid w:val="00CE5DEC"/>
    <w:rsid w:val="00CF1EFA"/>
    <w:rsid w:val="00CF78A4"/>
    <w:rsid w:val="00D12504"/>
    <w:rsid w:val="00D31BF1"/>
    <w:rsid w:val="00D323F8"/>
    <w:rsid w:val="00D330F2"/>
    <w:rsid w:val="00D51AA2"/>
    <w:rsid w:val="00D66010"/>
    <w:rsid w:val="00D66FCA"/>
    <w:rsid w:val="00D76005"/>
    <w:rsid w:val="00D85BCB"/>
    <w:rsid w:val="00D93726"/>
    <w:rsid w:val="00DC0681"/>
    <w:rsid w:val="00DC60A2"/>
    <w:rsid w:val="00DC7F16"/>
    <w:rsid w:val="00DF6543"/>
    <w:rsid w:val="00E01068"/>
    <w:rsid w:val="00E02020"/>
    <w:rsid w:val="00E065CC"/>
    <w:rsid w:val="00E0691D"/>
    <w:rsid w:val="00E16E7E"/>
    <w:rsid w:val="00E2309F"/>
    <w:rsid w:val="00E256EF"/>
    <w:rsid w:val="00E52A5A"/>
    <w:rsid w:val="00E53C60"/>
    <w:rsid w:val="00E62183"/>
    <w:rsid w:val="00E70CB2"/>
    <w:rsid w:val="00E8201A"/>
    <w:rsid w:val="00E8750A"/>
    <w:rsid w:val="00E95FF5"/>
    <w:rsid w:val="00E963C0"/>
    <w:rsid w:val="00EA1236"/>
    <w:rsid w:val="00EA2039"/>
    <w:rsid w:val="00EA3D81"/>
    <w:rsid w:val="00EA544C"/>
    <w:rsid w:val="00EC7152"/>
    <w:rsid w:val="00EF445E"/>
    <w:rsid w:val="00EF741B"/>
    <w:rsid w:val="00F10624"/>
    <w:rsid w:val="00F1172E"/>
    <w:rsid w:val="00F16147"/>
    <w:rsid w:val="00F16270"/>
    <w:rsid w:val="00F17E37"/>
    <w:rsid w:val="00F23662"/>
    <w:rsid w:val="00F259B8"/>
    <w:rsid w:val="00F272D0"/>
    <w:rsid w:val="00F31197"/>
    <w:rsid w:val="00F427D8"/>
    <w:rsid w:val="00F4789B"/>
    <w:rsid w:val="00F83706"/>
    <w:rsid w:val="00F850E7"/>
    <w:rsid w:val="00F97697"/>
    <w:rsid w:val="00FB391B"/>
    <w:rsid w:val="00FB57A2"/>
    <w:rsid w:val="00FB7A1F"/>
    <w:rsid w:val="00FC2E5A"/>
    <w:rsid w:val="00FD25C0"/>
    <w:rsid w:val="00FD38AA"/>
    <w:rsid w:val="00FD5887"/>
    <w:rsid w:val="00FE5778"/>
    <w:rsid w:val="00FF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F72673E"/>
  <w15:docId w15:val="{55999436-7470-A140-833F-4B72CDCC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658"/>
    <w:rPr>
      <w:sz w:val="24"/>
      <w:szCs w:val="24"/>
    </w:rPr>
  </w:style>
  <w:style w:type="paragraph" w:styleId="Heading1">
    <w:name w:val="heading 1"/>
    <w:basedOn w:val="Normal"/>
    <w:next w:val="Normal"/>
    <w:qFormat/>
    <w:rsid w:val="00223658"/>
    <w:pPr>
      <w:keepNext/>
      <w:jc w:val="both"/>
      <w:outlineLvl w:val="0"/>
    </w:pPr>
    <w:rPr>
      <w:rFonts w:ascii="Trebuchet MS" w:hAnsi="Trebuchet MS"/>
      <w:b/>
      <w:bCs/>
      <w:sz w:val="28"/>
    </w:rPr>
  </w:style>
  <w:style w:type="paragraph" w:styleId="Heading2">
    <w:name w:val="heading 2"/>
    <w:basedOn w:val="Normal"/>
    <w:next w:val="Normal"/>
    <w:qFormat/>
    <w:rsid w:val="00223658"/>
    <w:pPr>
      <w:keepNext/>
      <w:jc w:val="center"/>
      <w:outlineLvl w:val="1"/>
    </w:pPr>
    <w:rPr>
      <w:b/>
      <w:bCs/>
      <w:szCs w:val="20"/>
    </w:rPr>
  </w:style>
  <w:style w:type="paragraph" w:styleId="Heading3">
    <w:name w:val="heading 3"/>
    <w:basedOn w:val="Normal"/>
    <w:next w:val="Normal"/>
    <w:qFormat/>
    <w:rsid w:val="00223658"/>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23658"/>
    <w:pPr>
      <w:jc w:val="center"/>
    </w:pPr>
    <w:rPr>
      <w:b/>
      <w:bCs/>
      <w:sz w:val="32"/>
      <w:szCs w:val="20"/>
    </w:rPr>
  </w:style>
  <w:style w:type="paragraph" w:styleId="BodyText2">
    <w:name w:val="Body Text 2"/>
    <w:basedOn w:val="Normal"/>
    <w:rsid w:val="00223658"/>
    <w:pPr>
      <w:jc w:val="both"/>
    </w:pPr>
    <w:rPr>
      <w:rFonts w:ascii="Trebuchet MS" w:hAnsi="Trebuchet MS"/>
      <w:sz w:val="28"/>
    </w:rPr>
  </w:style>
  <w:style w:type="paragraph" w:styleId="BalloonText">
    <w:name w:val="Balloon Text"/>
    <w:basedOn w:val="Normal"/>
    <w:semiHidden/>
    <w:rsid w:val="00FE5778"/>
    <w:rPr>
      <w:rFonts w:ascii="Tahoma" w:hAnsi="Tahoma" w:cs="Tahoma"/>
      <w:sz w:val="16"/>
      <w:szCs w:val="16"/>
    </w:rPr>
  </w:style>
  <w:style w:type="paragraph" w:customStyle="1" w:styleId="List0">
    <w:name w:val="List 0"/>
    <w:basedOn w:val="Normal"/>
    <w:semiHidden/>
    <w:rsid w:val="00CD261A"/>
    <w:pPr>
      <w:tabs>
        <w:tab w:val="num" w:pos="720"/>
      </w:tabs>
      <w:ind w:left="720" w:hanging="360"/>
    </w:pPr>
    <w:rPr>
      <w:sz w:val="20"/>
      <w:szCs w:val="20"/>
    </w:rPr>
  </w:style>
  <w:style w:type="paragraph" w:styleId="ListParagraph">
    <w:name w:val="List Paragraph"/>
    <w:basedOn w:val="Normal"/>
    <w:uiPriority w:val="34"/>
    <w:qFormat/>
    <w:rsid w:val="00CD261A"/>
    <w:pPr>
      <w:ind w:left="720"/>
      <w:contextualSpacing/>
    </w:pPr>
  </w:style>
  <w:style w:type="paragraph" w:styleId="Header">
    <w:name w:val="header"/>
    <w:basedOn w:val="Normal"/>
    <w:link w:val="HeaderChar"/>
    <w:rsid w:val="008960CF"/>
    <w:pPr>
      <w:tabs>
        <w:tab w:val="center" w:pos="4680"/>
        <w:tab w:val="right" w:pos="9360"/>
      </w:tabs>
    </w:pPr>
  </w:style>
  <w:style w:type="character" w:customStyle="1" w:styleId="HeaderChar">
    <w:name w:val="Header Char"/>
    <w:link w:val="Header"/>
    <w:rsid w:val="008960CF"/>
    <w:rPr>
      <w:sz w:val="24"/>
      <w:szCs w:val="24"/>
    </w:rPr>
  </w:style>
  <w:style w:type="paragraph" w:styleId="Footer">
    <w:name w:val="footer"/>
    <w:basedOn w:val="Normal"/>
    <w:link w:val="FooterChar"/>
    <w:uiPriority w:val="99"/>
    <w:rsid w:val="008960CF"/>
    <w:pPr>
      <w:tabs>
        <w:tab w:val="center" w:pos="4680"/>
        <w:tab w:val="right" w:pos="9360"/>
      </w:tabs>
    </w:pPr>
  </w:style>
  <w:style w:type="character" w:customStyle="1" w:styleId="FooterChar">
    <w:name w:val="Footer Char"/>
    <w:link w:val="Footer"/>
    <w:uiPriority w:val="99"/>
    <w:rsid w:val="008960CF"/>
    <w:rPr>
      <w:sz w:val="24"/>
      <w:szCs w:val="24"/>
    </w:rPr>
  </w:style>
  <w:style w:type="character" w:styleId="Hyperlink">
    <w:name w:val="Hyperlink"/>
    <w:uiPriority w:val="99"/>
    <w:unhideWhenUsed/>
    <w:rsid w:val="00F272D0"/>
    <w:rPr>
      <w:color w:val="0000FF"/>
      <w:u w:val="single"/>
    </w:rPr>
  </w:style>
  <w:style w:type="paragraph" w:styleId="NormalWeb">
    <w:name w:val="Normal (Web)"/>
    <w:basedOn w:val="Normal"/>
    <w:uiPriority w:val="99"/>
    <w:semiHidden/>
    <w:unhideWhenUsed/>
    <w:rsid w:val="00F272D0"/>
    <w:rPr>
      <w:rFonts w:eastAsia="Calibri"/>
      <w:lang w:val="en-GB" w:eastAsia="en-GB"/>
    </w:rPr>
  </w:style>
  <w:style w:type="paragraph" w:styleId="NoSpacing">
    <w:name w:val="No Spacing"/>
    <w:uiPriority w:val="1"/>
    <w:qFormat/>
    <w:rsid w:val="00C675FD"/>
    <w:rPr>
      <w:rFonts w:ascii="Calibri" w:hAnsi="Calibri"/>
      <w:sz w:val="22"/>
      <w:szCs w:val="22"/>
    </w:rPr>
  </w:style>
  <w:style w:type="character" w:styleId="Strong">
    <w:name w:val="Strong"/>
    <w:basedOn w:val="DefaultParagraphFont"/>
    <w:uiPriority w:val="22"/>
    <w:qFormat/>
    <w:rsid w:val="000B0F17"/>
    <w:rPr>
      <w:b/>
      <w:bCs/>
    </w:rPr>
  </w:style>
  <w:style w:type="table" w:customStyle="1" w:styleId="Memotable">
    <w:name w:val="Memo table"/>
    <w:basedOn w:val="TableNormal"/>
    <w:uiPriority w:val="99"/>
    <w:rsid w:val="00C5402A"/>
    <w:pPr>
      <w:spacing w:before="240"/>
      <w:contextualSpacing/>
    </w:pPr>
    <w:rPr>
      <w:rFonts w:asciiTheme="minorHAnsi" w:eastAsiaTheme="minorEastAsia" w:hAnsiTheme="minorHAnsi"/>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character" w:customStyle="1" w:styleId="UnresolvedMention">
    <w:name w:val="Unresolved Mention"/>
    <w:basedOn w:val="DefaultParagraphFont"/>
    <w:uiPriority w:val="99"/>
    <w:semiHidden/>
    <w:unhideWhenUsed/>
    <w:rsid w:val="00106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36408">
      <w:bodyDiv w:val="1"/>
      <w:marLeft w:val="0"/>
      <w:marRight w:val="0"/>
      <w:marTop w:val="0"/>
      <w:marBottom w:val="0"/>
      <w:divBdr>
        <w:top w:val="none" w:sz="0" w:space="0" w:color="auto"/>
        <w:left w:val="none" w:sz="0" w:space="0" w:color="auto"/>
        <w:bottom w:val="none" w:sz="0" w:space="0" w:color="auto"/>
        <w:right w:val="none" w:sz="0" w:space="0" w:color="auto"/>
      </w:divBdr>
      <w:divsChild>
        <w:div w:id="1280527262">
          <w:marLeft w:val="0"/>
          <w:marRight w:val="0"/>
          <w:marTop w:val="0"/>
          <w:marBottom w:val="0"/>
          <w:divBdr>
            <w:top w:val="none" w:sz="0" w:space="0" w:color="auto"/>
            <w:left w:val="none" w:sz="0" w:space="0" w:color="auto"/>
            <w:bottom w:val="none" w:sz="0" w:space="0" w:color="auto"/>
            <w:right w:val="none" w:sz="0" w:space="0" w:color="auto"/>
          </w:divBdr>
          <w:divsChild>
            <w:div w:id="2086685837">
              <w:marLeft w:val="0"/>
              <w:marRight w:val="0"/>
              <w:marTop w:val="0"/>
              <w:marBottom w:val="0"/>
              <w:divBdr>
                <w:top w:val="none" w:sz="0" w:space="0" w:color="auto"/>
                <w:left w:val="none" w:sz="0" w:space="0" w:color="auto"/>
                <w:bottom w:val="none" w:sz="0" w:space="0" w:color="auto"/>
                <w:right w:val="none" w:sz="0" w:space="0" w:color="auto"/>
              </w:divBdr>
              <w:divsChild>
                <w:div w:id="1112432540">
                  <w:marLeft w:val="0"/>
                  <w:marRight w:val="0"/>
                  <w:marTop w:val="0"/>
                  <w:marBottom w:val="0"/>
                  <w:divBdr>
                    <w:top w:val="none" w:sz="0" w:space="0" w:color="auto"/>
                    <w:left w:val="none" w:sz="0" w:space="0" w:color="auto"/>
                    <w:bottom w:val="none" w:sz="0" w:space="0" w:color="auto"/>
                    <w:right w:val="none" w:sz="0" w:space="0" w:color="auto"/>
                  </w:divBdr>
                  <w:divsChild>
                    <w:div w:id="67970696">
                      <w:marLeft w:val="0"/>
                      <w:marRight w:val="0"/>
                      <w:marTop w:val="0"/>
                      <w:marBottom w:val="0"/>
                      <w:divBdr>
                        <w:top w:val="none" w:sz="0" w:space="0" w:color="auto"/>
                        <w:left w:val="none" w:sz="0" w:space="0" w:color="auto"/>
                        <w:bottom w:val="none" w:sz="0" w:space="0" w:color="auto"/>
                        <w:right w:val="none" w:sz="0" w:space="0" w:color="auto"/>
                      </w:divBdr>
                    </w:div>
                    <w:div w:id="100610835">
                      <w:marLeft w:val="0"/>
                      <w:marRight w:val="0"/>
                      <w:marTop w:val="0"/>
                      <w:marBottom w:val="0"/>
                      <w:divBdr>
                        <w:top w:val="none" w:sz="0" w:space="0" w:color="auto"/>
                        <w:left w:val="none" w:sz="0" w:space="0" w:color="auto"/>
                        <w:bottom w:val="none" w:sz="0" w:space="0" w:color="auto"/>
                        <w:right w:val="none" w:sz="0" w:space="0" w:color="auto"/>
                      </w:divBdr>
                    </w:div>
                    <w:div w:id="308285663">
                      <w:marLeft w:val="0"/>
                      <w:marRight w:val="0"/>
                      <w:marTop w:val="0"/>
                      <w:marBottom w:val="0"/>
                      <w:divBdr>
                        <w:top w:val="none" w:sz="0" w:space="0" w:color="auto"/>
                        <w:left w:val="none" w:sz="0" w:space="0" w:color="auto"/>
                        <w:bottom w:val="none" w:sz="0" w:space="0" w:color="auto"/>
                        <w:right w:val="none" w:sz="0" w:space="0" w:color="auto"/>
                      </w:divBdr>
                    </w:div>
                    <w:div w:id="346374042">
                      <w:marLeft w:val="0"/>
                      <w:marRight w:val="0"/>
                      <w:marTop w:val="0"/>
                      <w:marBottom w:val="0"/>
                      <w:divBdr>
                        <w:top w:val="none" w:sz="0" w:space="0" w:color="auto"/>
                        <w:left w:val="none" w:sz="0" w:space="0" w:color="auto"/>
                        <w:bottom w:val="none" w:sz="0" w:space="0" w:color="auto"/>
                        <w:right w:val="none" w:sz="0" w:space="0" w:color="auto"/>
                      </w:divBdr>
                    </w:div>
                    <w:div w:id="986209482">
                      <w:marLeft w:val="0"/>
                      <w:marRight w:val="0"/>
                      <w:marTop w:val="0"/>
                      <w:marBottom w:val="0"/>
                      <w:divBdr>
                        <w:top w:val="none" w:sz="0" w:space="0" w:color="auto"/>
                        <w:left w:val="none" w:sz="0" w:space="0" w:color="auto"/>
                        <w:bottom w:val="none" w:sz="0" w:space="0" w:color="auto"/>
                        <w:right w:val="none" w:sz="0" w:space="0" w:color="auto"/>
                      </w:divBdr>
                    </w:div>
                    <w:div w:id="991328778">
                      <w:marLeft w:val="0"/>
                      <w:marRight w:val="0"/>
                      <w:marTop w:val="0"/>
                      <w:marBottom w:val="0"/>
                      <w:divBdr>
                        <w:top w:val="none" w:sz="0" w:space="0" w:color="auto"/>
                        <w:left w:val="none" w:sz="0" w:space="0" w:color="auto"/>
                        <w:bottom w:val="none" w:sz="0" w:space="0" w:color="auto"/>
                        <w:right w:val="none" w:sz="0" w:space="0" w:color="auto"/>
                      </w:divBdr>
                    </w:div>
                    <w:div w:id="20959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423545">
      <w:bodyDiv w:val="1"/>
      <w:marLeft w:val="0"/>
      <w:marRight w:val="0"/>
      <w:marTop w:val="0"/>
      <w:marBottom w:val="0"/>
      <w:divBdr>
        <w:top w:val="none" w:sz="0" w:space="0" w:color="auto"/>
        <w:left w:val="none" w:sz="0" w:space="0" w:color="auto"/>
        <w:bottom w:val="none" w:sz="0" w:space="0" w:color="auto"/>
        <w:right w:val="none" w:sz="0" w:space="0" w:color="auto"/>
      </w:divBdr>
    </w:div>
    <w:div w:id="474488400">
      <w:bodyDiv w:val="1"/>
      <w:marLeft w:val="0"/>
      <w:marRight w:val="0"/>
      <w:marTop w:val="0"/>
      <w:marBottom w:val="0"/>
      <w:divBdr>
        <w:top w:val="none" w:sz="0" w:space="0" w:color="auto"/>
        <w:left w:val="none" w:sz="0" w:space="0" w:color="auto"/>
        <w:bottom w:val="none" w:sz="0" w:space="0" w:color="auto"/>
        <w:right w:val="none" w:sz="0" w:space="0" w:color="auto"/>
      </w:divBdr>
    </w:div>
    <w:div w:id="668678375">
      <w:bodyDiv w:val="1"/>
      <w:marLeft w:val="0"/>
      <w:marRight w:val="0"/>
      <w:marTop w:val="0"/>
      <w:marBottom w:val="0"/>
      <w:divBdr>
        <w:top w:val="none" w:sz="0" w:space="0" w:color="auto"/>
        <w:left w:val="none" w:sz="0" w:space="0" w:color="auto"/>
        <w:bottom w:val="none" w:sz="0" w:space="0" w:color="auto"/>
        <w:right w:val="none" w:sz="0" w:space="0" w:color="auto"/>
      </w:divBdr>
    </w:div>
    <w:div w:id="683868202">
      <w:bodyDiv w:val="1"/>
      <w:marLeft w:val="0"/>
      <w:marRight w:val="0"/>
      <w:marTop w:val="0"/>
      <w:marBottom w:val="0"/>
      <w:divBdr>
        <w:top w:val="none" w:sz="0" w:space="0" w:color="auto"/>
        <w:left w:val="none" w:sz="0" w:space="0" w:color="auto"/>
        <w:bottom w:val="none" w:sz="0" w:space="0" w:color="auto"/>
        <w:right w:val="none" w:sz="0" w:space="0" w:color="auto"/>
      </w:divBdr>
    </w:div>
    <w:div w:id="1224099613">
      <w:bodyDiv w:val="1"/>
      <w:marLeft w:val="0"/>
      <w:marRight w:val="0"/>
      <w:marTop w:val="0"/>
      <w:marBottom w:val="0"/>
      <w:divBdr>
        <w:top w:val="none" w:sz="0" w:space="0" w:color="auto"/>
        <w:left w:val="none" w:sz="0" w:space="0" w:color="auto"/>
        <w:bottom w:val="none" w:sz="0" w:space="0" w:color="auto"/>
        <w:right w:val="none" w:sz="0" w:space="0" w:color="auto"/>
      </w:divBdr>
    </w:div>
    <w:div w:id="1267079538">
      <w:bodyDiv w:val="1"/>
      <w:marLeft w:val="0"/>
      <w:marRight w:val="0"/>
      <w:marTop w:val="0"/>
      <w:marBottom w:val="0"/>
      <w:divBdr>
        <w:top w:val="none" w:sz="0" w:space="0" w:color="auto"/>
        <w:left w:val="none" w:sz="0" w:space="0" w:color="auto"/>
        <w:bottom w:val="none" w:sz="0" w:space="0" w:color="auto"/>
        <w:right w:val="none" w:sz="0" w:space="0" w:color="auto"/>
      </w:divBdr>
      <w:divsChild>
        <w:div w:id="1041251147">
          <w:marLeft w:val="0"/>
          <w:marRight w:val="0"/>
          <w:marTop w:val="0"/>
          <w:marBottom w:val="0"/>
          <w:divBdr>
            <w:top w:val="none" w:sz="0" w:space="0" w:color="auto"/>
            <w:left w:val="none" w:sz="0" w:space="0" w:color="auto"/>
            <w:bottom w:val="none" w:sz="0" w:space="0" w:color="auto"/>
            <w:right w:val="none" w:sz="0" w:space="0" w:color="auto"/>
          </w:divBdr>
          <w:divsChild>
            <w:div w:id="1463772325">
              <w:marLeft w:val="0"/>
              <w:marRight w:val="0"/>
              <w:marTop w:val="0"/>
              <w:marBottom w:val="0"/>
              <w:divBdr>
                <w:top w:val="none" w:sz="0" w:space="0" w:color="auto"/>
                <w:left w:val="none" w:sz="0" w:space="0" w:color="auto"/>
                <w:bottom w:val="none" w:sz="0" w:space="0" w:color="auto"/>
                <w:right w:val="none" w:sz="0" w:space="0" w:color="auto"/>
              </w:divBdr>
              <w:divsChild>
                <w:div w:id="633293034">
                  <w:marLeft w:val="0"/>
                  <w:marRight w:val="0"/>
                  <w:marTop w:val="0"/>
                  <w:marBottom w:val="0"/>
                  <w:divBdr>
                    <w:top w:val="none" w:sz="0" w:space="0" w:color="auto"/>
                    <w:left w:val="none" w:sz="0" w:space="0" w:color="auto"/>
                    <w:bottom w:val="none" w:sz="0" w:space="0" w:color="auto"/>
                    <w:right w:val="none" w:sz="0" w:space="0" w:color="auto"/>
                  </w:divBdr>
                  <w:divsChild>
                    <w:div w:id="1116606689">
                      <w:marLeft w:val="0"/>
                      <w:marRight w:val="0"/>
                      <w:marTop w:val="0"/>
                      <w:marBottom w:val="0"/>
                      <w:divBdr>
                        <w:top w:val="none" w:sz="0" w:space="0" w:color="auto"/>
                        <w:left w:val="none" w:sz="0" w:space="0" w:color="auto"/>
                        <w:bottom w:val="none" w:sz="0" w:space="0" w:color="auto"/>
                        <w:right w:val="none" w:sz="0" w:space="0" w:color="auto"/>
                      </w:divBdr>
                      <w:divsChild>
                        <w:div w:id="69666474">
                          <w:marLeft w:val="0"/>
                          <w:marRight w:val="0"/>
                          <w:marTop w:val="0"/>
                          <w:marBottom w:val="0"/>
                          <w:divBdr>
                            <w:top w:val="none" w:sz="0" w:space="0" w:color="auto"/>
                            <w:left w:val="none" w:sz="0" w:space="0" w:color="auto"/>
                            <w:bottom w:val="none" w:sz="0" w:space="0" w:color="auto"/>
                            <w:right w:val="none" w:sz="0" w:space="0" w:color="auto"/>
                          </w:divBdr>
                          <w:divsChild>
                            <w:div w:id="741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844446">
      <w:bodyDiv w:val="1"/>
      <w:marLeft w:val="0"/>
      <w:marRight w:val="0"/>
      <w:marTop w:val="0"/>
      <w:marBottom w:val="0"/>
      <w:divBdr>
        <w:top w:val="none" w:sz="0" w:space="0" w:color="auto"/>
        <w:left w:val="none" w:sz="0" w:space="0" w:color="auto"/>
        <w:bottom w:val="none" w:sz="0" w:space="0" w:color="auto"/>
        <w:right w:val="none" w:sz="0" w:space="0" w:color="auto"/>
      </w:divBdr>
    </w:div>
    <w:div w:id="1770006095">
      <w:bodyDiv w:val="1"/>
      <w:marLeft w:val="0"/>
      <w:marRight w:val="0"/>
      <w:marTop w:val="0"/>
      <w:marBottom w:val="0"/>
      <w:divBdr>
        <w:top w:val="none" w:sz="0" w:space="0" w:color="auto"/>
        <w:left w:val="none" w:sz="0" w:space="0" w:color="auto"/>
        <w:bottom w:val="none" w:sz="0" w:space="0" w:color="auto"/>
        <w:right w:val="none" w:sz="0" w:space="0" w:color="auto"/>
      </w:divBdr>
    </w:div>
    <w:div w:id="1818764669">
      <w:bodyDiv w:val="1"/>
      <w:marLeft w:val="0"/>
      <w:marRight w:val="0"/>
      <w:marTop w:val="0"/>
      <w:marBottom w:val="0"/>
      <w:divBdr>
        <w:top w:val="none" w:sz="0" w:space="0" w:color="auto"/>
        <w:left w:val="none" w:sz="0" w:space="0" w:color="auto"/>
        <w:bottom w:val="none" w:sz="0" w:space="0" w:color="auto"/>
        <w:right w:val="none" w:sz="0" w:space="0" w:color="auto"/>
      </w:divBdr>
    </w:div>
    <w:div w:id="208170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higgs@gov.tc" TargetMode="External"/><Relationship Id="rId5" Type="http://schemas.openxmlformats.org/officeDocument/2006/relationships/webSettings" Target="webSettings.xml"/><Relationship Id="rId10" Type="http://schemas.openxmlformats.org/officeDocument/2006/relationships/hyperlink" Target="mailto:kwilliams@gov.tc"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CBCDF-EA82-498F-8E8E-9EA179A6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1559</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MINISTRY OF BORDER CONTROL &amp; LABOUR</vt:lpstr>
    </vt:vector>
  </TitlesOfParts>
  <Company>TURKS &amp; CAICOS GOVERNMENT</Company>
  <LinksUpToDate>false</LinksUpToDate>
  <CharactersWithSpaces>10854</CharactersWithSpaces>
  <SharedDoc>false</SharedDoc>
  <HLinks>
    <vt:vector size="12" baseType="variant">
      <vt:variant>
        <vt:i4>6619219</vt:i4>
      </vt:variant>
      <vt:variant>
        <vt:i4>3</vt:i4>
      </vt:variant>
      <vt:variant>
        <vt:i4>0</vt:i4>
      </vt:variant>
      <vt:variant>
        <vt:i4>5</vt:i4>
      </vt:variant>
      <vt:variant>
        <vt:lpwstr>mailto:khiggs@gov.tc</vt:lpwstr>
      </vt:variant>
      <vt:variant>
        <vt:lpwstr/>
      </vt:variant>
      <vt:variant>
        <vt:i4>6619219</vt:i4>
      </vt:variant>
      <vt:variant>
        <vt:i4>0</vt:i4>
      </vt:variant>
      <vt:variant>
        <vt:i4>0</vt:i4>
      </vt:variant>
      <vt:variant>
        <vt:i4>5</vt:i4>
      </vt:variant>
      <vt:variant>
        <vt:lpwstr>mailto:khiggs@gov.tc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BORDER CONTROL &amp; LABOUR</dc:title>
  <dc:subject/>
  <dc:creator>CGardiner</dc:creator>
  <cp:keywords/>
  <cp:lastModifiedBy>Pascal P Bacchus</cp:lastModifiedBy>
  <cp:revision>9</cp:revision>
  <cp:lastPrinted>2024-06-14T15:28:00Z</cp:lastPrinted>
  <dcterms:created xsi:type="dcterms:W3CDTF">2025-12-29T16:36:00Z</dcterms:created>
  <dcterms:modified xsi:type="dcterms:W3CDTF">2025-12-31T15:22:00Z</dcterms:modified>
</cp:coreProperties>
</file>